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43" w:rsidRPr="00DC346A" w:rsidRDefault="000C2B43" w:rsidP="000C2B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412888"/>
      <w:r w:rsidRPr="00DC346A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ry </w:t>
      </w:r>
      <w:r w:rsidRPr="00DC346A">
        <w:rPr>
          <w:rFonts w:ascii="Times New Roman" w:hAnsi="Times New Roman" w:cs="Times New Roman"/>
          <w:b/>
          <w:bCs/>
          <w:sz w:val="24"/>
          <w:szCs w:val="24"/>
        </w:rPr>
        <w:t>material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C2B43" w:rsidRPr="004D1AE9" w:rsidRDefault="000C2B43" w:rsidP="000C2B43">
      <w:pPr>
        <w:rPr>
          <w:rFonts w:ascii="Times New Roman" w:hAnsi="Times New Roman" w:cs="Times New Roman"/>
          <w:sz w:val="24"/>
          <w:szCs w:val="24"/>
        </w:rPr>
      </w:pPr>
    </w:p>
    <w:p w:rsidR="000C2B43" w:rsidRPr="004D1AE9" w:rsidRDefault="000C2B43" w:rsidP="000C2B43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D1AE9">
        <w:rPr>
          <w:rFonts w:ascii="Times New Roman" w:hAnsi="Times New Roman" w:cs="Times New Roman"/>
          <w:b/>
          <w:bCs/>
          <w:sz w:val="24"/>
          <w:szCs w:val="24"/>
        </w:rPr>
        <w:t>Details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 </w:t>
      </w:r>
      <w:r w:rsidRPr="004D1AE9">
        <w:rPr>
          <w:rFonts w:ascii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b/>
          <w:bCs/>
          <w:sz w:val="24"/>
          <w:szCs w:val="24"/>
        </w:rPr>
        <w:t>prospective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patient </w:t>
      </w:r>
      <w:r w:rsidRPr="004D1AE9">
        <w:rPr>
          <w:rFonts w:ascii="Times New Roman" w:hAnsi="Times New Roman" w:cs="Times New Roman"/>
          <w:b/>
          <w:bCs/>
          <w:sz w:val="24"/>
          <w:szCs w:val="24"/>
        </w:rPr>
        <w:t>cohort</w:t>
      </w:r>
    </w:p>
    <w:p w:rsidR="000C2B43" w:rsidRPr="00DC346A" w:rsidRDefault="000C2B43" w:rsidP="000C2B4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3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Patient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3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selection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3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C34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inclusion</w:t>
      </w:r>
    </w:p>
    <w:p w:rsidR="000C2B43" w:rsidRPr="004D1AE9" w:rsidRDefault="000C2B43" w:rsidP="000C2B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study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further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validate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retrospective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hepatocellular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carcinoma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(HCC)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transarterial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chemoembolization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(TACE)</w:t>
      </w:r>
      <w:r>
        <w:rPr>
          <w:rFonts w:ascii="Times New Roman" w:hAnsi="Times New Roman" w:cs="Times New Roman"/>
          <w:sz w:val="24"/>
          <w:szCs w:val="24"/>
        </w:rPr>
        <w:t xml:space="preserve"> between </w:t>
      </w:r>
      <w:r w:rsidRPr="004D1AE9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4D1AE9">
        <w:rPr>
          <w:rFonts w:ascii="Times New Roman" w:hAnsi="Times New Roman" w:cs="Times New Roman"/>
          <w:sz w:val="24"/>
          <w:szCs w:val="24"/>
        </w:rPr>
        <w:t>December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leading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participating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hospital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screened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included.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exclusion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criteria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similar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retrospective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expect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condition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therapy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monotherapy.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4D1AE9">
        <w:rPr>
          <w:rFonts w:ascii="Times New Roman" w:hAnsi="Times New Roman" w:cs="Times New Roman"/>
          <w:sz w:val="24"/>
          <w:szCs w:val="24"/>
        </w:rPr>
        <w:t>years,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several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randomized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controlled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trials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bookmarkStart w:id="1" w:name="_Hlk135642177"/>
      <w:r w:rsidRPr="004D1AE9">
        <w:rPr>
          <w:rFonts w:ascii="Times New Roman" w:hAnsi="Times New Roman" w:cs="Times New Roman"/>
          <w:sz w:val="24"/>
          <w:szCs w:val="24"/>
        </w:rPr>
        <w:t>anti-PD-(L)1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tyrosine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kinase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inhibitors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(TKI)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demonstrated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positive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efficacy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safety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and have </w:t>
      </w:r>
      <w:r w:rsidRPr="004D1AE9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recommended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first-line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setting.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Considering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synergistic</w:t>
      </w:r>
      <w:r>
        <w:rPr>
          <w:rFonts w:ascii="Times New Roman" w:hAnsi="Times New Roman" w:cs="Times New Roman"/>
          <w:sz w:val="24"/>
          <w:szCs w:val="24"/>
        </w:rPr>
        <w:t xml:space="preserve"> activity of </w:t>
      </w:r>
      <w:r w:rsidRPr="004D1AE9">
        <w:rPr>
          <w:rFonts w:ascii="Times New Roman" w:hAnsi="Times New Roman" w:cs="Times New Roman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anti-PD-(L)1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TACE-based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therapy,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combined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anti-PD-(L)1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widely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applied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clinical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practice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HCC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years.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Therefore,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combined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anti-PD-(L)1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agent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anti-VEGF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treated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TACE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monotherapy.</w:t>
      </w:r>
    </w:p>
    <w:p w:rsidR="000C2B43" w:rsidRDefault="000C2B43" w:rsidP="000C2B4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C2B43" w:rsidRPr="002939DA" w:rsidRDefault="000C2B43" w:rsidP="000C2B43">
      <w:pPr>
        <w:spacing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939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Results</w:t>
      </w:r>
    </w:p>
    <w:p w:rsidR="000C2B43" w:rsidRPr="004D1AE9" w:rsidRDefault="000C2B43" w:rsidP="000C2B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included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brief,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mean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age</w:t>
      </w:r>
      <w:r>
        <w:rPr>
          <w:rFonts w:ascii="Times New Roman" w:hAnsi="Times New Roman" w:cs="Times New Roman"/>
          <w:sz w:val="24"/>
          <w:szCs w:val="24"/>
        </w:rPr>
        <w:t xml:space="preserve"> was </w:t>
      </w:r>
      <w:r w:rsidRPr="004D1AE9">
        <w:rPr>
          <w:rFonts w:ascii="Times New Roman" w:hAnsi="Times New Roman" w:cs="Times New Roman"/>
          <w:sz w:val="24"/>
          <w:szCs w:val="24"/>
        </w:rPr>
        <w:t>58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 xml:space="preserve">, the </w:t>
      </w:r>
      <w:r w:rsidRPr="004D1AE9">
        <w:rPr>
          <w:rFonts w:ascii="Times New Roman" w:hAnsi="Times New Roman" w:cs="Times New Roman"/>
          <w:sz w:val="24"/>
          <w:szCs w:val="24"/>
        </w:rPr>
        <w:t>majority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(37</w:t>
      </w:r>
      <w:r>
        <w:rPr>
          <w:rFonts w:ascii="Times New Roman" w:hAnsi="Times New Roman" w:cs="Times New Roman"/>
          <w:sz w:val="24"/>
          <w:szCs w:val="24"/>
        </w:rPr>
        <w:t>/44</w:t>
      </w:r>
      <w:r w:rsidRPr="004D1A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84.1%)</w:t>
      </w:r>
      <w:r>
        <w:rPr>
          <w:rFonts w:ascii="Times New Roman" w:hAnsi="Times New Roman" w:cs="Times New Roman"/>
          <w:sz w:val="24"/>
          <w:szCs w:val="24"/>
        </w:rPr>
        <w:t xml:space="preserve"> were men, and </w:t>
      </w:r>
      <w:r w:rsidRPr="004D1AE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sz w:val="24"/>
          <w:szCs w:val="24"/>
        </w:rPr>
        <w:t>68.2%</w:t>
      </w:r>
      <w:r>
        <w:rPr>
          <w:rFonts w:ascii="Times New Roman" w:hAnsi="Times New Roman" w:cs="Times New Roman"/>
          <w:sz w:val="24"/>
          <w:szCs w:val="24"/>
        </w:rPr>
        <w:t xml:space="preserve">) had </w:t>
      </w:r>
      <w:r w:rsidRPr="004D1AE9">
        <w:rPr>
          <w:rFonts w:ascii="Times New Roman" w:hAnsi="Times New Roman" w:cs="Times New Roman"/>
          <w:sz w:val="24"/>
          <w:szCs w:val="24"/>
        </w:rPr>
        <w:t>hepatitis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virus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-related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HCC.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median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overall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be </w:t>
      </w:r>
      <w:r w:rsidRPr="004D1AE9">
        <w:rPr>
          <w:rFonts w:ascii="Times New Roman" w:hAnsi="Times New Roman" w:cs="Times New Roman"/>
          <w:sz w:val="24"/>
          <w:szCs w:val="24"/>
        </w:rPr>
        <w:t>achieve</w:t>
      </w:r>
      <w:r>
        <w:rPr>
          <w:rFonts w:ascii="Times New Roman" w:hAnsi="Times New Roman" w:cs="Times New Roman"/>
          <w:sz w:val="24"/>
          <w:szCs w:val="24"/>
        </w:rPr>
        <w:t xml:space="preserve">d, </w:t>
      </w:r>
      <w:r w:rsidRPr="004D1AE9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progression-free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survival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15.5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months,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Pr="004D1AE9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objective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response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rate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65.9%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(29/44).</w:t>
      </w:r>
    </w:p>
    <w:p w:rsidR="000C2B43" w:rsidRDefault="000C2B43" w:rsidP="000C2B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C2B43" w:rsidRPr="004D1AE9" w:rsidRDefault="000C2B43" w:rsidP="000C2B4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prognostic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performance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outcomes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prospective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cohort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showed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CNLC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staging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performed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better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CLC </w:t>
      </w:r>
      <w:r w:rsidRPr="004D1AE9">
        <w:rPr>
          <w:rFonts w:ascii="Times New Roman" w:hAnsi="Times New Roman" w:cs="Times New Roman"/>
          <w:sz w:val="24"/>
          <w:szCs w:val="24"/>
        </w:rPr>
        <w:t>staging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system.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discrimination,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CNLC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C-index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(0.544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9DA">
        <w:rPr>
          <w:rFonts w:ascii="Times New Roman" w:hAnsi="Times New Roman" w:cs="Times New Roman"/>
          <w:color w:val="000000" w:themeColor="text1"/>
          <w:sz w:val="24"/>
          <w:szCs w:val="24"/>
        </w:rPr>
        <w:t>vs.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0.511)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lower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AIC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(34.48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9DA">
        <w:rPr>
          <w:rFonts w:ascii="Times New Roman" w:hAnsi="Times New Roman" w:cs="Times New Roman"/>
          <w:color w:val="000000" w:themeColor="text1"/>
          <w:sz w:val="24"/>
          <w:szCs w:val="24"/>
        </w:rPr>
        <w:t>vs</w:t>
      </w:r>
      <w:r w:rsidRPr="004D1AE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34.70)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BCLC.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monotonicity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eastAsia="等线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gradient,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BCLC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linear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trends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chi-square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tests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CNLC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[0.161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9DA">
        <w:rPr>
          <w:rFonts w:ascii="Times New Roman" w:hAnsi="Times New Roman" w:cs="Times New Roman"/>
          <w:color w:val="000000" w:themeColor="text1"/>
          <w:sz w:val="24"/>
          <w:szCs w:val="24"/>
        </w:rPr>
        <w:t>vs.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0.023;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0.001].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homogeneity,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CNLC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higher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likelihood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ratios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chi-square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tests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BCLC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2.534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9DA">
        <w:rPr>
          <w:rFonts w:ascii="Times New Roman" w:hAnsi="Times New Roman" w:cs="Times New Roman"/>
          <w:color w:val="000000" w:themeColor="text1"/>
          <w:sz w:val="24"/>
          <w:szCs w:val="24"/>
        </w:rPr>
        <w:t>vs.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0.168;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0.001].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calibration,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CNLC was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slightly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than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BCLC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(0.857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39DA">
        <w:rPr>
          <w:rFonts w:ascii="Times New Roman" w:hAnsi="Times New Roman" w:cs="Times New Roman"/>
          <w:color w:val="000000" w:themeColor="text1"/>
          <w:sz w:val="24"/>
          <w:szCs w:val="24"/>
        </w:rPr>
        <w:t>vs.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1AE9">
        <w:rPr>
          <w:rFonts w:ascii="Times New Roman" w:hAnsi="Times New Roman" w:cs="Times New Roman"/>
          <w:color w:val="000000" w:themeColor="text1"/>
          <w:sz w:val="24"/>
          <w:szCs w:val="24"/>
        </w:rPr>
        <w:t>0.846).</w:t>
      </w:r>
    </w:p>
    <w:p w:rsidR="00E03CCB" w:rsidRDefault="00E03CCB"/>
    <w:sectPr w:rsidR="00E03C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80"/>
  <w:defaultTabStop w:val="720"/>
  <w:characterSpacingControl w:val="doNotCompress"/>
  <w:compat>
    <w:useFELayout/>
  </w:compat>
  <w:rsids>
    <w:rsidRoot w:val="000C2B43"/>
    <w:rsid w:val="000C2B43"/>
    <w:rsid w:val="00E0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2023-07-02T02:42:00Z</dcterms:created>
  <dcterms:modified xsi:type="dcterms:W3CDTF">2023-07-02T02:42:00Z</dcterms:modified>
</cp:coreProperties>
</file>