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B4" w:rsidRPr="00B82BE4" w:rsidRDefault="004378B4" w:rsidP="004378B4">
      <w:pPr>
        <w:snapToGrid w:val="0"/>
        <w:spacing w:line="480" w:lineRule="auto"/>
        <w:rPr>
          <w:rFonts w:ascii="Times New Roman" w:eastAsia="宋体" w:hAnsi="Times New Roman" w:cs="Times New Roman"/>
          <w:b/>
          <w:bCs/>
          <w:color w:val="000000" w:themeColor="text1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Supplementary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Table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1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.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Demographic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characteristics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and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clinical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features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in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our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patient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</w:t>
      </w:r>
      <w:r w:rsidRPr="00B82BE4">
        <w:rPr>
          <w:rFonts w:ascii="Times New Roman" w:eastAsia="宋体" w:hAnsi="Times New Roman" w:cs="Times New Roman"/>
          <w:b/>
          <w:bCs/>
          <w:color w:val="000000" w:themeColor="text1"/>
        </w:rPr>
        <w:t>cohort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>.</w:t>
      </w:r>
    </w:p>
    <w:tbl>
      <w:tblPr>
        <w:tblStyle w:val="85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1383"/>
        <w:gridCol w:w="1744"/>
        <w:gridCol w:w="142"/>
        <w:gridCol w:w="1834"/>
        <w:gridCol w:w="283"/>
        <w:gridCol w:w="1449"/>
        <w:gridCol w:w="142"/>
        <w:gridCol w:w="1307"/>
        <w:gridCol w:w="142"/>
      </w:tblGrid>
      <w:tr w:rsidR="004378B4" w:rsidRPr="00B82BE4" w:rsidTr="00C377CE">
        <w:trPr>
          <w:trHeight w:val="58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pacing w:val="3"/>
                <w:sz w:val="22"/>
                <w:shd w:val="clear" w:color="auto" w:fill="FFFFFF"/>
              </w:rPr>
            </w:pPr>
            <w:bookmarkStart w:id="0" w:name="_Hlk60516635"/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Training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group</w:t>
            </w:r>
          </w:p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(</w:t>
            </w:r>
            <w:r w:rsidRPr="00B82BE4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pacing w:val="3"/>
                <w:sz w:val="22"/>
                <w:shd w:val="clear" w:color="auto" w:fill="FFFFFF"/>
              </w:rPr>
              <w:t>n</w:t>
            </w:r>
            <w:r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pacing w:val="3"/>
                <w:sz w:val="22"/>
                <w:shd w:val="clear" w:color="auto" w:fill="FFFFFF"/>
              </w:rPr>
              <w:t>=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290)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Internal</w:t>
            </w:r>
          </w:p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v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alidation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group</w:t>
            </w:r>
          </w:p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(</w:t>
            </w:r>
            <w:r w:rsidRPr="00B82BE4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pacing w:val="3"/>
                <w:sz w:val="22"/>
                <w:shd w:val="clear" w:color="auto" w:fill="FFFFFF"/>
              </w:rPr>
              <w:t>n</w:t>
            </w:r>
            <w:r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pacing w:val="3"/>
                <w:sz w:val="22"/>
                <w:shd w:val="clear" w:color="auto" w:fill="FFFFFF"/>
              </w:rPr>
              <w:t>=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291)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External</w:t>
            </w:r>
          </w:p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v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alidation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group</w:t>
            </w:r>
          </w:p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i/>
                <w:color w:val="000000" w:themeColor="text1"/>
                <w:spacing w:val="3"/>
                <w:sz w:val="22"/>
                <w:shd w:val="clear" w:color="auto" w:fill="FFFFFF"/>
              </w:rPr>
            </w:pP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(n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=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106)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>
              <w:rPr>
                <w:rFonts w:ascii="Times New Roman" w:eastAsia="等线" w:hAnsi="Times New Roman" w:cs="Times New Roman"/>
                <w:b/>
                <w:i/>
                <w:color w:val="000000" w:themeColor="text1"/>
                <w:spacing w:val="3"/>
                <w:sz w:val="22"/>
                <w:shd w:val="clear" w:color="auto" w:fill="FFFFFF"/>
              </w:rPr>
              <w:t>p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-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value</w:t>
            </w:r>
          </w:p>
        </w:tc>
      </w:tr>
      <w:tr w:rsidR="004378B4" w:rsidRPr="00B82BE4" w:rsidTr="00C377CE">
        <w:trPr>
          <w:trHeight w:val="223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Age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(years)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37.64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10.71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38.26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10.45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37.99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10.52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0.780</w:t>
            </w:r>
          </w:p>
        </w:tc>
      </w:tr>
      <w:tr w:rsidR="004378B4" w:rsidRPr="00B82BE4" w:rsidTr="00C377CE">
        <w:trPr>
          <w:trHeight w:val="165"/>
        </w:trPr>
        <w:tc>
          <w:tcPr>
            <w:tcW w:w="993" w:type="dxa"/>
            <w:vMerge w:val="restart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Sex</w:t>
            </w:r>
          </w:p>
        </w:tc>
        <w:tc>
          <w:tcPr>
            <w:tcW w:w="1383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Male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(63.4%)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(63.2%)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(65.1%)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0.941</w:t>
            </w:r>
          </w:p>
        </w:tc>
      </w:tr>
      <w:tr w:rsidR="004378B4" w:rsidRPr="00B82BE4" w:rsidTr="00C377CE">
        <w:trPr>
          <w:trHeight w:val="91"/>
        </w:trPr>
        <w:tc>
          <w:tcPr>
            <w:tcW w:w="993" w:type="dxa"/>
            <w:vMerge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Female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(36.6%)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(36.8%)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(34.9%)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4378B4" w:rsidRPr="00B82BE4" w:rsidTr="00C377CE">
        <w:trPr>
          <w:trHeight w:val="227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Total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bilirubin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(μmol/L)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15.03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8.35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14.21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10.27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14.78±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6.36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0.234</w:t>
            </w:r>
          </w:p>
        </w:tc>
      </w:tr>
      <w:tr w:rsidR="004378B4" w:rsidRPr="00B82BE4" w:rsidTr="00C377CE">
        <w:trPr>
          <w:trHeight w:val="227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Albumin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(g/L)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42.06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5.16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43.13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4.78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43.30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4.89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0.014</w:t>
            </w:r>
          </w:p>
        </w:tc>
      </w:tr>
      <w:tr w:rsidR="004378B4" w:rsidRPr="00B82BE4" w:rsidTr="00C377CE">
        <w:trPr>
          <w:trHeight w:val="82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ALT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(U/L)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25.67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7.79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26.82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7.78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22.25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12.77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0.024</w:t>
            </w:r>
          </w:p>
        </w:tc>
      </w:tr>
      <w:tr w:rsidR="004378B4" w:rsidRPr="00B82BE4" w:rsidTr="00C377CE">
        <w:trPr>
          <w:trHeight w:val="202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AST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(U/L)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23.03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6.17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24.15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6.57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25.23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9.95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0.015</w:t>
            </w:r>
          </w:p>
        </w:tc>
      </w:tr>
      <w:tr w:rsidR="004378B4" w:rsidRPr="00B82BE4" w:rsidTr="00C377CE">
        <w:trPr>
          <w:trHeight w:val="156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GGT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(U/L)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23.03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14.37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23.83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15.45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23.17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15.40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0.844</w:t>
            </w:r>
          </w:p>
        </w:tc>
      </w:tr>
      <w:tr w:rsidR="004378B4" w:rsidRPr="00B82BE4" w:rsidTr="00C377CE">
        <w:trPr>
          <w:trHeight w:val="125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WBC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(10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  <w:vertAlign w:val="superscript"/>
              </w:rPr>
              <w:t>9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/L)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1.46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5.71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1.55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1.48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0.651</w:t>
            </w:r>
          </w:p>
        </w:tc>
      </w:tr>
      <w:tr w:rsidR="004378B4" w:rsidRPr="00B82BE4" w:rsidTr="00C377CE">
        <w:trPr>
          <w:trHeight w:val="182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PLT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(10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  <w:vertAlign w:val="superscript"/>
              </w:rPr>
              <w:t>9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/L)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209.50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55.98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207.20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54.63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209.75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46.00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0.855</w:t>
            </w:r>
          </w:p>
        </w:tc>
      </w:tr>
      <w:tr w:rsidR="004378B4" w:rsidRPr="00B82BE4" w:rsidTr="00C377CE">
        <w:trPr>
          <w:trHeight w:val="201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HBsAg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(Log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IU/mL)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0.98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3.38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1.06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4.10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0.75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4378B4" w:rsidRPr="00B82BE4" w:rsidTr="00C377CE">
        <w:trPr>
          <w:trHeight w:val="237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HBV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DNA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(Log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IU/mL)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5.36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1.97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5.67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2.10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6.16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1.90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0.007</w:t>
            </w:r>
          </w:p>
        </w:tc>
      </w:tr>
      <w:tr w:rsidR="004378B4" w:rsidRPr="00B82BE4" w:rsidTr="00C377CE">
        <w:trPr>
          <w:trHeight w:val="153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PT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(s)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12.62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1.03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13.02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1.15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11.53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0.82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0.007</w:t>
            </w:r>
          </w:p>
        </w:tc>
      </w:tr>
      <w:tr w:rsidR="004378B4" w:rsidRPr="00B82BE4" w:rsidTr="00C377CE">
        <w:trPr>
          <w:trHeight w:val="153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INR</w:t>
            </w:r>
          </w:p>
        </w:tc>
        <w:tc>
          <w:tcPr>
            <w:tcW w:w="188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0.07</w:t>
            </w:r>
          </w:p>
        </w:tc>
        <w:tc>
          <w:tcPr>
            <w:tcW w:w="183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0.08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0.07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4378B4" w:rsidRPr="00B82BE4" w:rsidTr="00C377CE">
        <w:trPr>
          <w:trHeight w:val="153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APRI</w:t>
            </w:r>
          </w:p>
        </w:tc>
        <w:tc>
          <w:tcPr>
            <w:tcW w:w="1886" w:type="dxa"/>
            <w:gridSpan w:val="2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0.30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0.14</w:t>
            </w:r>
          </w:p>
        </w:tc>
        <w:tc>
          <w:tcPr>
            <w:tcW w:w="1834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0.15</w:t>
            </w:r>
          </w:p>
        </w:tc>
        <w:tc>
          <w:tcPr>
            <w:tcW w:w="1874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0.31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0.15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0.227</w:t>
            </w:r>
          </w:p>
        </w:tc>
      </w:tr>
      <w:tr w:rsidR="004378B4" w:rsidRPr="00B82BE4" w:rsidTr="00C377CE">
        <w:trPr>
          <w:gridAfter w:val="1"/>
          <w:wAfter w:w="142" w:type="dxa"/>
          <w:trHeight w:val="287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FIB-4</w:t>
            </w:r>
          </w:p>
        </w:tc>
        <w:tc>
          <w:tcPr>
            <w:tcW w:w="1744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0.55</w:t>
            </w:r>
          </w:p>
        </w:tc>
        <w:tc>
          <w:tcPr>
            <w:tcW w:w="2259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0.56</w:t>
            </w:r>
          </w:p>
        </w:tc>
        <w:tc>
          <w:tcPr>
            <w:tcW w:w="1449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0.45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0.187</w:t>
            </w:r>
          </w:p>
        </w:tc>
      </w:tr>
      <w:tr w:rsidR="004378B4" w:rsidRPr="00B82BE4" w:rsidTr="00C377CE">
        <w:trPr>
          <w:gridAfter w:val="1"/>
          <w:wAfter w:w="142" w:type="dxa"/>
          <w:trHeight w:val="287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METAVIR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fibrosis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</w:t>
            </w:r>
            <w:r w:rsidRPr="00FA3A8A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%)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44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stage</w:t>
            </w:r>
          </w:p>
        </w:tc>
        <w:tc>
          <w:tcPr>
            <w:tcW w:w="2259" w:type="dxa"/>
            <w:gridSpan w:val="3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49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4378B4" w:rsidRPr="00B82BE4" w:rsidTr="00C377CE">
        <w:trPr>
          <w:gridAfter w:val="1"/>
          <w:wAfter w:w="142" w:type="dxa"/>
          <w:trHeight w:val="287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F0</w:t>
            </w:r>
          </w:p>
        </w:tc>
        <w:tc>
          <w:tcPr>
            <w:tcW w:w="174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(14.5)</w:t>
            </w:r>
          </w:p>
        </w:tc>
        <w:tc>
          <w:tcPr>
            <w:tcW w:w="2259" w:type="dxa"/>
            <w:gridSpan w:val="3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ind w:firstLineChars="50" w:firstLine="110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(12.0)</w:t>
            </w:r>
          </w:p>
        </w:tc>
        <w:tc>
          <w:tcPr>
            <w:tcW w:w="1449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(46.2)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4378B4" w:rsidRPr="00B82BE4" w:rsidTr="00C377CE">
        <w:trPr>
          <w:gridAfter w:val="1"/>
          <w:wAfter w:w="142" w:type="dxa"/>
          <w:trHeight w:val="223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lastRenderedPageBreak/>
              <w:t>F1</w:t>
            </w:r>
          </w:p>
        </w:tc>
        <w:tc>
          <w:tcPr>
            <w:tcW w:w="174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159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(54.8)</w:t>
            </w:r>
          </w:p>
        </w:tc>
        <w:tc>
          <w:tcPr>
            <w:tcW w:w="2259" w:type="dxa"/>
            <w:gridSpan w:val="3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155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(53.3)</w:t>
            </w:r>
          </w:p>
        </w:tc>
        <w:tc>
          <w:tcPr>
            <w:tcW w:w="1449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(22.7)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4378B4" w:rsidRPr="00B82BE4" w:rsidTr="00C377CE">
        <w:trPr>
          <w:gridAfter w:val="1"/>
          <w:wAfter w:w="142" w:type="dxa"/>
          <w:trHeight w:val="97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F2</w:t>
            </w:r>
          </w:p>
        </w:tc>
        <w:tc>
          <w:tcPr>
            <w:tcW w:w="174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(21.0)</w:t>
            </w:r>
          </w:p>
        </w:tc>
        <w:tc>
          <w:tcPr>
            <w:tcW w:w="2259" w:type="dxa"/>
            <w:gridSpan w:val="3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(22.0)</w:t>
            </w:r>
          </w:p>
        </w:tc>
        <w:tc>
          <w:tcPr>
            <w:tcW w:w="1449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(17.0)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4378B4" w:rsidRPr="00B82BE4" w:rsidTr="00C377CE">
        <w:trPr>
          <w:gridAfter w:val="1"/>
          <w:wAfter w:w="142" w:type="dxa"/>
          <w:trHeight w:val="153"/>
        </w:trPr>
        <w:tc>
          <w:tcPr>
            <w:tcW w:w="2376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F3</w:t>
            </w:r>
          </w:p>
        </w:tc>
        <w:tc>
          <w:tcPr>
            <w:tcW w:w="1744" w:type="dxa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(6.2)</w:t>
            </w:r>
          </w:p>
        </w:tc>
        <w:tc>
          <w:tcPr>
            <w:tcW w:w="2259" w:type="dxa"/>
            <w:gridSpan w:val="3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(9.3)</w:t>
            </w:r>
          </w:p>
        </w:tc>
        <w:tc>
          <w:tcPr>
            <w:tcW w:w="1449" w:type="dxa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(6.6)</w:t>
            </w:r>
          </w:p>
        </w:tc>
        <w:tc>
          <w:tcPr>
            <w:tcW w:w="1449" w:type="dxa"/>
            <w:gridSpan w:val="2"/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4378B4" w:rsidRPr="00B82BE4" w:rsidTr="00C377CE">
        <w:trPr>
          <w:gridAfter w:val="1"/>
          <w:wAfter w:w="142" w:type="dxa"/>
          <w:trHeight w:val="32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F4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(3.5)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(3.4)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(7.5)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4378B4" w:rsidRPr="00B82BE4" w:rsidRDefault="004378B4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</w:tbl>
    <w:bookmarkEnd w:id="0"/>
    <w:p w:rsidR="004378B4" w:rsidRPr="00B82BE4" w:rsidRDefault="004378B4" w:rsidP="004378B4">
      <w:pPr>
        <w:snapToGrid w:val="0"/>
        <w:spacing w:line="480" w:lineRule="auto"/>
        <w:rPr>
          <w:rFonts w:ascii="Times New Roman" w:eastAsia="等线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Data are </w:t>
      </w:r>
      <w:r w:rsidRPr="00C0171D">
        <w:rPr>
          <w:rFonts w:ascii="Times New Roman" w:hAnsi="Times New Roman" w:cs="Times New Roman"/>
          <w:i/>
          <w:iCs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(%) or mean±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SEM. </w:t>
      </w:r>
      <w:r w:rsidRPr="00B82BE4">
        <w:rPr>
          <w:rFonts w:ascii="Times New Roman" w:eastAsia="等线" w:hAnsi="Times New Roman" w:cs="Times New Roman"/>
          <w:color w:val="000000" w:themeColor="text1"/>
        </w:rPr>
        <w:t>ALT</w:t>
      </w:r>
      <w:r>
        <w:rPr>
          <w:rFonts w:ascii="Times New Roman" w:eastAsia="等线" w:hAnsi="Times New Roman" w:cs="Times New Roman"/>
          <w:color w:val="000000" w:themeColor="text1"/>
        </w:rPr>
        <w:t>, a</w:t>
      </w:r>
      <w:r w:rsidRPr="00B82BE4">
        <w:rPr>
          <w:rFonts w:ascii="Times New Roman" w:eastAsia="等线" w:hAnsi="Times New Roman" w:cs="Times New Roman"/>
          <w:color w:val="000000" w:themeColor="text1"/>
        </w:rPr>
        <w:t>lanine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aminotransferase;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AST</w:t>
      </w:r>
      <w:r>
        <w:rPr>
          <w:rFonts w:ascii="Times New Roman" w:eastAsia="等线" w:hAnsi="Times New Roman" w:cs="Times New Roman"/>
          <w:color w:val="000000" w:themeColor="text1"/>
        </w:rPr>
        <w:t>, a</w:t>
      </w:r>
      <w:r w:rsidRPr="00B82BE4">
        <w:rPr>
          <w:rFonts w:ascii="Times New Roman" w:eastAsia="等线" w:hAnsi="Times New Roman" w:cs="Times New Roman"/>
          <w:color w:val="000000" w:themeColor="text1"/>
        </w:rPr>
        <w:t>spartate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aminotransferase;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GGT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gamma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glutamyl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transpeptidase;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TCHO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total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cholesterol;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CHE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cholinesterase;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WBC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white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blood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cell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count;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PLT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platelet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count;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HBV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hepatitis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B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virus;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PT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prothrombin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time;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INR</w:t>
      </w:r>
      <w:r>
        <w:rPr>
          <w:rFonts w:ascii="Times New Roman" w:eastAsia="等线" w:hAnsi="Times New Roman" w:cs="Times New Roman"/>
          <w:color w:val="000000" w:themeColor="text1"/>
        </w:rPr>
        <w:t>, i</w:t>
      </w:r>
      <w:r w:rsidRPr="00B82BE4">
        <w:rPr>
          <w:rFonts w:ascii="Times New Roman" w:eastAsia="等线" w:hAnsi="Times New Roman" w:cs="Times New Roman"/>
          <w:color w:val="000000" w:themeColor="text1"/>
        </w:rPr>
        <w:t>nternational</w:t>
      </w:r>
      <w:r>
        <w:rPr>
          <w:rFonts w:ascii="Times New Roman" w:eastAsia="等线" w:hAnsi="Times New Roman" w:cs="Times New Roman"/>
          <w:color w:val="000000" w:themeColor="text1"/>
        </w:rPr>
        <w:t xml:space="preserve"> n</w:t>
      </w:r>
      <w:r w:rsidRPr="00B82BE4">
        <w:rPr>
          <w:rFonts w:ascii="Times New Roman" w:eastAsia="等线" w:hAnsi="Times New Roman" w:cs="Times New Roman"/>
          <w:color w:val="000000" w:themeColor="text1"/>
        </w:rPr>
        <w:t>ormalized</w:t>
      </w:r>
      <w:r>
        <w:rPr>
          <w:rFonts w:ascii="Times New Roman" w:eastAsia="等线" w:hAnsi="Times New Roman" w:cs="Times New Roman"/>
          <w:color w:val="000000" w:themeColor="text1"/>
        </w:rPr>
        <w:t xml:space="preserve"> r</w:t>
      </w:r>
      <w:r w:rsidRPr="00B82BE4">
        <w:rPr>
          <w:rFonts w:ascii="Times New Roman" w:eastAsia="等线" w:hAnsi="Times New Roman" w:cs="Times New Roman"/>
          <w:color w:val="000000" w:themeColor="text1"/>
        </w:rPr>
        <w:t>atio.</w:t>
      </w:r>
    </w:p>
    <w:p w:rsidR="00DD60C5" w:rsidRDefault="00DD60C5"/>
    <w:sectPr w:rsidR="00DD60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90"/>
  <w:defaultTabStop w:val="720"/>
  <w:characterSpacingControl w:val="doNotCompress"/>
  <w:compat>
    <w:useFELayout/>
  </w:compat>
  <w:rsids>
    <w:rsidRoot w:val="004378B4"/>
    <w:rsid w:val="004378B4"/>
    <w:rsid w:val="00DD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85">
    <w:name w:val="网格型85"/>
    <w:basedOn w:val="TableNormal"/>
    <w:uiPriority w:val="39"/>
    <w:rsid w:val="004378B4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2022-05-25T21:42:00Z</dcterms:created>
  <dcterms:modified xsi:type="dcterms:W3CDTF">2022-05-25T21:42:00Z</dcterms:modified>
</cp:coreProperties>
</file>