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16" w:rsidRDefault="00922616" w:rsidP="00922616">
      <w:pPr>
        <w:spacing w:line="480" w:lineRule="auto"/>
        <w:ind w:firstLine="709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  <w:lang w:val="en-GB"/>
        </w:rPr>
        <w:t xml:space="preserve"> Baseline and clinical characteristics of the studied groups</w:t>
      </w:r>
    </w:p>
    <w:tbl>
      <w:tblPr>
        <w:tblpPr w:leftFromText="180" w:rightFromText="180" w:bottomFromText="200" w:vertAnchor="text" w:tblpXSpec="center" w:tblpY="1"/>
        <w:tblOverlap w:val="never"/>
        <w:tblW w:w="53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8"/>
        <w:gridCol w:w="142"/>
        <w:gridCol w:w="1760"/>
        <w:gridCol w:w="2011"/>
        <w:gridCol w:w="1649"/>
        <w:gridCol w:w="909"/>
        <w:gridCol w:w="909"/>
      </w:tblGrid>
      <w:tr w:rsidR="00922616" w:rsidTr="00D92A7E"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Baseline and clinical characteristics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COVID-19 patients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(n=178)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Controls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(n=1195)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-value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922616" w:rsidTr="00D92A7E"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Age, Ме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 [58; 78]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 [53; 66]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&lt;0.001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2616" w:rsidTr="00D92A7E">
        <w:trPr>
          <w:trHeight w:val="58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Gender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Males,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86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(48.3)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505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(42.2)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&lt;0.001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2616" w:rsidTr="00D92A7E">
        <w:trPr>
          <w:trHeight w:val="231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(51.7)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690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(57.8)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2616" w:rsidTr="00D92A7E">
        <w:trPr>
          <w:trHeight w:val="134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Smoking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(29.2)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355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(29.7)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&gt;0.05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231"/>
        </w:trPr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(67.4)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813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(68)</w:t>
            </w: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231"/>
        </w:trPr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(3.4)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(2.3)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271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Low physical activity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(53.4)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215"/>
        </w:trPr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(43.2)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162"/>
        </w:trPr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(3.4)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185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Low fruit/vegetable consumption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(63.5)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86"/>
        </w:trPr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(33.1)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162"/>
        </w:trPr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(3.4)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231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Vaccination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(11.2)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100"/>
        </w:trPr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(11.2)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58"/>
        </w:trPr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(77.6)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231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Death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(32.6)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58"/>
        </w:trPr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(67.4)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62"/>
        </w:trPr>
        <w:tc>
          <w:tcPr>
            <w:tcW w:w="2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Essential hypertension (EH)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(65.2)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62"/>
        </w:trPr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(34.8)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76"/>
        </w:trPr>
        <w:tc>
          <w:tcPr>
            <w:tcW w:w="2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Coronary artery disease (CAD)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(43.8)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62"/>
        </w:trPr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(56.2)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highlight w:val="red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395"/>
        </w:trPr>
        <w:tc>
          <w:tcPr>
            <w:tcW w:w="2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lastRenderedPageBreak/>
              <w:t>Cerebrovascular accident (CVA) in anamnesis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(16.3)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62"/>
        </w:trPr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(83.7)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highlight w:val="red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471"/>
        </w:trPr>
        <w:tc>
          <w:tcPr>
            <w:tcW w:w="2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Chronic obstructive pulmonary disease (COPD)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(23)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highlight w:val="red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471"/>
        </w:trPr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(77)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highlight w:val="red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62"/>
        </w:trPr>
        <w:tc>
          <w:tcPr>
            <w:tcW w:w="2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Diabetes mellitus type 2 (T2D)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(19.1)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highlight w:val="red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62"/>
        </w:trPr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No,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(80.9)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Body mass index,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29.9 [24; 34]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(n=174)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27.1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[26; 29.4]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(n=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352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&gt;0.05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Bed-day in intensive care unit (ICU)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[7; 14[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(n=178)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Leukocytes (</w:t>
            </w:r>
            <w:r>
              <w:rPr>
                <w:rFonts w:ascii="Times New Roman" w:eastAsia="Times New Roman" w:hAnsi="Times New Roman" w:cs="Times New Roman" w:hint="eastAsia"/>
                <w:color w:val="000000"/>
                <w:lang w:val="en-GB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/L)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11.8 [8.9; 15.5] (n=178)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Thrombocyte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 (</w:t>
            </w:r>
            <w:r>
              <w:rPr>
                <w:rFonts w:ascii="Times New Roman" w:eastAsia="Times New Roman" w:hAnsi="Times New Roman" w:cs="Times New Roman" w:hint="eastAsia"/>
                <w:color w:val="000000"/>
                <w:lang w:val="en-GB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/L)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 [193; 311] (n=178)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Prothrombin index (PTI)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 [73; 93] (n=177)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Activated partial thromboplastin time (APTT) (sec),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28.45 [25.2; 33.0] (n=178)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Fibrinogen (g/L)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5.16 [4.1; 6.24] (n=40)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C-reactive protein (CRP) (mg/L)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89.3 [45.2; 143.6] (n=178)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Ground-glass opacity (%), admission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 [20; 60] (n=178)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lastRenderedPageBreak/>
              <w:t>Ground-glass opacity (%), discharge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 [10; 50] (n=167)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Groun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-glass opacity dynamics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Positive.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(69.1)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2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Negative.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(25.3)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2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ND. N 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(5.6)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Oxygen therapy days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[0; 6] (n=178)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Non-invasive mechanical ventilation days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[2; 8] (n=178)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Time to the start of clot growth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(T lag, min)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[0.8; 1.1] (n=111)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Initial spatial clot growth rates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(Vi, µm/min)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40.48 [21.2; 53.5] (n=111)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Stationary spatial clot growth rates</w:t>
            </w:r>
          </w:p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(Vs, µm/min)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11.9 [6.55; 26.15] (n=111)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Clot growth rate nonlinearity corrected (V, µm/min)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11.9 [6.55; 26.15] (n=111)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Maximum optical density of the formed clot (D)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27850 [22725; 31928.5] (n=111)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2616" w:rsidTr="00D92A7E">
        <w:trPr>
          <w:trHeight w:val="231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GB"/>
              </w:rPr>
              <w:t>Clot size at 30 min after coagulation activation (CS, µm)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[Q1; Q3]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694.42 [399; 1042] (n=111)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16" w:rsidRDefault="00922616" w:rsidP="00D92A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22616" w:rsidRDefault="00922616" w:rsidP="00922616">
      <w:pPr>
        <w:rPr>
          <w:sz w:val="21"/>
          <w:szCs w:val="21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Statistically significant differences between groups are indicated in bold</w:t>
      </w:r>
      <w:r>
        <w:rPr>
          <w:rFonts w:ascii="Times New Roman" w:eastAsia="宋体" w:hAnsi="Times New Roman" w:cs="Times New Roman"/>
          <w:color w:val="000000"/>
          <w:sz w:val="21"/>
          <w:szCs w:val="21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 xml:space="preserve"> ND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lang w:eastAsia="zh-CN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no data.</w:t>
      </w:r>
    </w:p>
    <w:p w:rsidR="0016756F" w:rsidRDefault="00922616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20"/>
  <w:characterSpacingControl w:val="doNotCompress"/>
  <w:compat>
    <w:useFELayout/>
  </w:compat>
  <w:rsids>
    <w:rsidRoot w:val="00922616"/>
    <w:rsid w:val="001855EF"/>
    <w:rsid w:val="001B03F3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922616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922616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2025-10-28T11:14:00Z</dcterms:created>
  <dcterms:modified xsi:type="dcterms:W3CDTF">2025-10-28T11:14:00Z</dcterms:modified>
</cp:coreProperties>
</file>