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66" w:rsidRPr="003A13B7" w:rsidRDefault="004E1F66" w:rsidP="004E1F66">
      <w:pPr>
        <w:adjustRightInd w:val="0"/>
        <w:snapToGrid w:val="0"/>
        <w:spacing w:line="480" w:lineRule="auto"/>
        <w:jc w:val="both"/>
        <w:rPr>
          <w:b/>
        </w:rPr>
      </w:pPr>
      <w:r w:rsidRPr="00CF4882">
        <w:rPr>
          <w:b/>
          <w:bCs/>
        </w:rPr>
        <w:t>Supplementa</w:t>
      </w:r>
      <w:r>
        <w:rPr>
          <w:b/>
          <w:bCs/>
        </w:rPr>
        <w:t>ry</w:t>
      </w:r>
      <w:r w:rsidRPr="00CF4882">
        <w:rPr>
          <w:b/>
          <w:bCs/>
        </w:rPr>
        <w:t xml:space="preserve"> Table 1.</w:t>
      </w:r>
      <w:r w:rsidRPr="003A13B7">
        <w:rPr>
          <w:b/>
        </w:rPr>
        <w:t xml:space="preserve"> Inclusion and exclusion criteria in the respective patient groups</w:t>
      </w:r>
    </w:p>
    <w:tbl>
      <w:tblPr>
        <w:tblStyle w:val="TableGrid"/>
        <w:tblW w:w="0" w:type="auto"/>
        <w:tblLook w:val="04A0"/>
      </w:tblPr>
      <w:tblGrid>
        <w:gridCol w:w="1129"/>
        <w:gridCol w:w="3943"/>
        <w:gridCol w:w="3944"/>
      </w:tblGrid>
      <w:tr w:rsidR="004E1F66" w:rsidRPr="00CF4882" w:rsidTr="00B402B5">
        <w:tc>
          <w:tcPr>
            <w:tcW w:w="1129" w:type="dxa"/>
          </w:tcPr>
          <w:p w:rsidR="004E1F66" w:rsidRPr="003A13B7" w:rsidRDefault="004E1F66" w:rsidP="00B402B5">
            <w:pPr>
              <w:adjustRightInd w:val="0"/>
              <w:snapToGrid w:val="0"/>
              <w:spacing w:line="480" w:lineRule="auto"/>
              <w:jc w:val="both"/>
              <w:rPr>
                <w:b/>
                <w:bCs/>
              </w:rPr>
            </w:pPr>
            <w:r w:rsidRPr="003A13B7">
              <w:rPr>
                <w:b/>
                <w:bCs/>
              </w:rPr>
              <w:t>Patient group</w:t>
            </w:r>
          </w:p>
        </w:tc>
        <w:tc>
          <w:tcPr>
            <w:tcW w:w="3943" w:type="dxa"/>
          </w:tcPr>
          <w:p w:rsidR="004E1F66" w:rsidRPr="003A13B7" w:rsidRDefault="004E1F66" w:rsidP="00B402B5">
            <w:pPr>
              <w:adjustRightInd w:val="0"/>
              <w:snapToGrid w:val="0"/>
              <w:spacing w:line="480" w:lineRule="auto"/>
              <w:jc w:val="both"/>
              <w:rPr>
                <w:b/>
                <w:bCs/>
              </w:rPr>
            </w:pPr>
            <w:r w:rsidRPr="003A13B7">
              <w:rPr>
                <w:b/>
                <w:bCs/>
              </w:rPr>
              <w:t>Inclusion criteria</w:t>
            </w:r>
          </w:p>
        </w:tc>
        <w:tc>
          <w:tcPr>
            <w:tcW w:w="3944" w:type="dxa"/>
          </w:tcPr>
          <w:p w:rsidR="004E1F66" w:rsidRPr="003A13B7" w:rsidRDefault="004E1F66" w:rsidP="00B402B5">
            <w:pPr>
              <w:adjustRightInd w:val="0"/>
              <w:snapToGrid w:val="0"/>
              <w:spacing w:line="480" w:lineRule="auto"/>
              <w:jc w:val="both"/>
              <w:rPr>
                <w:b/>
                <w:bCs/>
              </w:rPr>
            </w:pPr>
            <w:r w:rsidRPr="003A13B7">
              <w:rPr>
                <w:b/>
                <w:bCs/>
              </w:rPr>
              <w:t>Exclusion criteria</w:t>
            </w:r>
          </w:p>
        </w:tc>
      </w:tr>
      <w:tr w:rsidR="004E1F66" w:rsidRPr="00CF4882" w:rsidTr="00B402B5">
        <w:tc>
          <w:tcPr>
            <w:tcW w:w="1129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t>Prevalent PBC</w:t>
            </w:r>
          </w:p>
        </w:tc>
        <w:tc>
          <w:tcPr>
            <w:tcW w:w="3943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t xml:space="preserve">Known </w:t>
            </w:r>
            <w:r>
              <w:t>primary biliary cholangitis (</w:t>
            </w:r>
            <w:r w:rsidRPr="00CF4882">
              <w:t>PBC</w:t>
            </w:r>
            <w:r>
              <w:t>)</w:t>
            </w:r>
            <w:r w:rsidRPr="00CF4882">
              <w:t xml:space="preserve"> patients who had a routine visit between 2016 and 2017 at our tertiary liver department with a PBC </w:t>
            </w:r>
            <w:r w:rsidRPr="00CF4882">
              <w:rPr>
                <w:rFonts w:eastAsiaTheme="minorHAnsi"/>
              </w:rPr>
              <w:t>diagnosis.</w:t>
            </w:r>
          </w:p>
        </w:tc>
        <w:tc>
          <w:tcPr>
            <w:tcW w:w="3944" w:type="dxa"/>
          </w:tcPr>
          <w:p w:rsidR="004E1F66" w:rsidRPr="00CF4882" w:rsidRDefault="004E1F66" w:rsidP="00B402B5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</w:pPr>
            <w:r w:rsidRPr="00CF4882">
              <w:t xml:space="preserve">Patient age below 18 years, life expectancy less than 6 months, planned liver transplantation within 6 months, cirrhosis from other causes (hepatitis, alcohol, </w:t>
            </w:r>
            <w:r>
              <w:t>non-alcoholic fatty liver disease</w:t>
            </w:r>
            <w:r w:rsidRPr="00CF4882">
              <w:t>/</w:t>
            </w:r>
            <w:r>
              <w:t>non-alcoholic steatohepatitis</w:t>
            </w:r>
            <w:r w:rsidRPr="00CF4882">
              <w:t>), liver cancer, and other malignancies.</w:t>
            </w:r>
          </w:p>
        </w:tc>
      </w:tr>
      <w:tr w:rsidR="004E1F66" w:rsidRPr="00CF4882" w:rsidTr="00B402B5">
        <w:tc>
          <w:tcPr>
            <w:tcW w:w="1129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t>Incident PBC</w:t>
            </w:r>
          </w:p>
        </w:tc>
        <w:tc>
          <w:tcPr>
            <w:tcW w:w="3943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t>New patients diagnosed with PBC at our liver center between 2016 and 2017</w:t>
            </w:r>
          </w:p>
        </w:tc>
        <w:tc>
          <w:tcPr>
            <w:tcW w:w="3944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t>Same as above.</w:t>
            </w:r>
          </w:p>
        </w:tc>
      </w:tr>
      <w:tr w:rsidR="004E1F66" w:rsidRPr="00CF4882" w:rsidTr="00B402B5">
        <w:tc>
          <w:tcPr>
            <w:tcW w:w="1129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t>PSC</w:t>
            </w:r>
            <w:r w:rsidRPr="00CF4882">
              <w:rPr>
                <w:vertAlign w:val="superscript"/>
              </w:rPr>
              <w:t>16</w:t>
            </w:r>
          </w:p>
        </w:tc>
        <w:tc>
          <w:tcPr>
            <w:tcW w:w="3943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>
              <w:rPr>
                <w:rFonts w:eastAsiaTheme="minorHAnsi"/>
              </w:rPr>
              <w:t>Primary sclerosing cholangitis (</w:t>
            </w:r>
            <w:r w:rsidRPr="00CF4882">
              <w:rPr>
                <w:rFonts w:eastAsiaTheme="minorHAnsi"/>
              </w:rPr>
              <w:t>PSC</w:t>
            </w:r>
            <w:r>
              <w:rPr>
                <w:rFonts w:eastAsiaTheme="minorHAnsi"/>
              </w:rPr>
              <w:t>)</w:t>
            </w:r>
            <w:r w:rsidRPr="00CF4882">
              <w:rPr>
                <w:rFonts w:eastAsiaTheme="minorHAnsi"/>
              </w:rPr>
              <w:t xml:space="preserve"> based on typical cholangiographic findings by either magnetic resonance cholangiopancreatography or endoscopic retrograde cholangiopancreatography and a serum sample in the NoPSC biobank between 2008-2012.</w:t>
            </w:r>
          </w:p>
        </w:tc>
        <w:tc>
          <w:tcPr>
            <w:tcW w:w="3944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rPr>
                <w:rFonts w:eastAsiaTheme="minorHAnsi"/>
              </w:rPr>
              <w:t>Patients with secondary cholangitis or small duct PSC.</w:t>
            </w:r>
          </w:p>
        </w:tc>
      </w:tr>
      <w:tr w:rsidR="004E1F66" w:rsidRPr="00CF4882" w:rsidTr="00B402B5">
        <w:tc>
          <w:tcPr>
            <w:tcW w:w="1129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t>AIH</w:t>
            </w:r>
            <w:r w:rsidRPr="00CF4882">
              <w:rPr>
                <w:vertAlign w:val="superscript"/>
              </w:rPr>
              <w:t>17</w:t>
            </w:r>
          </w:p>
        </w:tc>
        <w:tc>
          <w:tcPr>
            <w:tcW w:w="3943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t xml:space="preserve">Consecutive </w:t>
            </w:r>
            <w:r>
              <w:t>autoimmune hepatitis (</w:t>
            </w:r>
            <w:r w:rsidRPr="00CF4882">
              <w:t>AIH</w:t>
            </w:r>
            <w:r>
              <w:t>)</w:t>
            </w:r>
            <w:r w:rsidRPr="00CF4882">
              <w:t xml:space="preserve"> patients who had a routine visit between January 2011 and January 2016 at our tertiary liver department with an AIH </w:t>
            </w:r>
            <w:r w:rsidRPr="00CF4882">
              <w:rPr>
                <w:rFonts w:eastAsiaTheme="minorHAnsi"/>
              </w:rPr>
              <w:t xml:space="preserve">diagnosis based on standard criteria of </w:t>
            </w:r>
            <w:r w:rsidRPr="00CF4882">
              <w:rPr>
                <w:rFonts w:eastAsiaTheme="minorHAnsi"/>
              </w:rPr>
              <w:lastRenderedPageBreak/>
              <w:t>elevated liver transaminases, elevated IgG, positive smooth muscle cell and anti-nuclear antibodies, and a liver biopsy demonstrating compatible morpho-logical lesions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3944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rPr>
                <w:rFonts w:eastAsiaTheme="minorHAnsi"/>
              </w:rPr>
              <w:lastRenderedPageBreak/>
              <w:t>Patients with autoantibodies characteristic for other diseases and patients with alcoholic liver disease.</w:t>
            </w:r>
          </w:p>
        </w:tc>
      </w:tr>
      <w:tr w:rsidR="004E1F66" w:rsidRPr="00CF4882" w:rsidTr="00B402B5">
        <w:tc>
          <w:tcPr>
            <w:tcW w:w="1129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lastRenderedPageBreak/>
              <w:t>CHC</w:t>
            </w:r>
            <w:r w:rsidRPr="00CF4882">
              <w:rPr>
                <w:vertAlign w:val="superscript"/>
              </w:rPr>
              <w:t>18</w:t>
            </w:r>
          </w:p>
        </w:tc>
        <w:tc>
          <w:tcPr>
            <w:tcW w:w="3943" w:type="dxa"/>
          </w:tcPr>
          <w:p w:rsidR="004E1F66" w:rsidRPr="00CF4882" w:rsidRDefault="004E1F66" w:rsidP="00B402B5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</w:pPr>
            <w:r w:rsidRPr="00CF4882">
              <w:t xml:space="preserve">Patients with </w:t>
            </w:r>
            <w:r>
              <w:t>chronic hepatitis C (</w:t>
            </w:r>
            <w:r w:rsidRPr="00CF4882">
              <w:t>CHC</w:t>
            </w:r>
            <w:r>
              <w:t>)</w:t>
            </w:r>
            <w:r w:rsidRPr="00CF4882">
              <w:t xml:space="preserve"> with severe liver disease (METAVIR F ≥ 3 or liver stiffness &gt;10 kPa), age ≥18 years, and planned initiation of sofosbuvir‐based </w:t>
            </w:r>
            <w:r>
              <w:t>direct-acting antiviral</w:t>
            </w:r>
            <w:r w:rsidRPr="00CF4882">
              <w:t xml:space="preserve"> therapy between September 2014 and February 2017.</w:t>
            </w:r>
          </w:p>
        </w:tc>
        <w:tc>
          <w:tcPr>
            <w:tcW w:w="3944" w:type="dxa"/>
          </w:tcPr>
          <w:p w:rsidR="004E1F66" w:rsidRPr="00CF4882" w:rsidRDefault="004E1F66" w:rsidP="00B402B5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</w:pPr>
            <w:r w:rsidRPr="00CF4882">
              <w:t xml:space="preserve">Patients co‐infected with </w:t>
            </w:r>
            <w:r>
              <w:t>hepatitis B virus</w:t>
            </w:r>
            <w:r w:rsidRPr="00CF4882">
              <w:t xml:space="preserve"> or </w:t>
            </w:r>
            <w:r>
              <w:t>human immunodeficiency virus</w:t>
            </w:r>
            <w:r w:rsidRPr="00CF4882">
              <w:t xml:space="preserve"> and patients with excessive alcohol intake within the last 6 months preceding treatment initiation.</w:t>
            </w:r>
          </w:p>
        </w:tc>
      </w:tr>
      <w:tr w:rsidR="004E1F66" w:rsidRPr="00CF4882" w:rsidTr="00B402B5">
        <w:tc>
          <w:tcPr>
            <w:tcW w:w="1129" w:type="dxa"/>
          </w:tcPr>
          <w:p w:rsidR="004E1F66" w:rsidRPr="00CF4882" w:rsidRDefault="004E1F66" w:rsidP="00B402B5">
            <w:pPr>
              <w:adjustRightInd w:val="0"/>
              <w:snapToGrid w:val="0"/>
              <w:spacing w:line="480" w:lineRule="auto"/>
              <w:jc w:val="both"/>
            </w:pPr>
            <w:r w:rsidRPr="00CF4882">
              <w:t>AH</w:t>
            </w:r>
            <w:r w:rsidRPr="00CF4882">
              <w:rPr>
                <w:vertAlign w:val="superscript"/>
              </w:rPr>
              <w:t>21</w:t>
            </w:r>
          </w:p>
        </w:tc>
        <w:tc>
          <w:tcPr>
            <w:tcW w:w="3943" w:type="dxa"/>
          </w:tcPr>
          <w:p w:rsidR="004E1F66" w:rsidRPr="00CF4882" w:rsidRDefault="004E1F66" w:rsidP="00B402B5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</w:pPr>
            <w:r w:rsidRPr="00CF4882">
              <w:rPr>
                <w:rFonts w:eastAsiaTheme="minorHAnsi"/>
                <w:lang w:eastAsia="en-US"/>
              </w:rPr>
              <w:t xml:space="preserve">A first-time diagnosis of </w:t>
            </w:r>
            <w:r>
              <w:rPr>
                <w:rFonts w:eastAsiaTheme="minorHAnsi"/>
                <w:lang w:eastAsia="en-US"/>
              </w:rPr>
              <w:t>alcoholic hepatitis (</w:t>
            </w:r>
            <w:r w:rsidRPr="00CF4882">
              <w:rPr>
                <w:rFonts w:eastAsiaTheme="minorHAnsi"/>
                <w:lang w:eastAsia="en-US"/>
              </w:rPr>
              <w:t>AH</w:t>
            </w:r>
            <w:r>
              <w:rPr>
                <w:rFonts w:eastAsiaTheme="minorHAnsi"/>
                <w:lang w:eastAsia="en-US"/>
              </w:rPr>
              <w:t>)</w:t>
            </w:r>
            <w:r w:rsidRPr="00CF4882">
              <w:rPr>
                <w:rFonts w:eastAsiaTheme="minorHAnsi"/>
                <w:lang w:eastAsia="en-US"/>
              </w:rPr>
              <w:t xml:space="preserve"> by a com- bination of physical and laboratory criteria; a history of excessive alcohol ingestion (≥10 units/day) until at least 3 weeks before admission; and acute jaundice (developed over at most 2 weeks, serum bilirubin &gt;80μmol/l). The diagnosis was verified by liver biopsy in 10 patients, and the histology in no case rejected the clinical diagnosis.</w:t>
            </w:r>
          </w:p>
        </w:tc>
        <w:tc>
          <w:tcPr>
            <w:tcW w:w="3944" w:type="dxa"/>
          </w:tcPr>
          <w:p w:rsidR="004E1F66" w:rsidRPr="00CF4882" w:rsidRDefault="004E1F66" w:rsidP="00B402B5">
            <w:pPr>
              <w:pStyle w:val="NormalWeb"/>
              <w:adjustRightInd w:val="0"/>
              <w:snapToGrid w:val="0"/>
              <w:spacing w:before="0" w:beforeAutospacing="0" w:after="0" w:afterAutospacing="0" w:line="480" w:lineRule="auto"/>
              <w:jc w:val="both"/>
            </w:pPr>
            <w:r w:rsidRPr="00CF4882">
              <w:rPr>
                <w:rFonts w:eastAsiaTheme="minorHAnsi"/>
                <w:lang w:eastAsia="en-US"/>
              </w:rPr>
              <w:t>Patients with viral hepatitis, autoimmune liver disease, bile duct obstruction, liver tumors or any other cancer, the presence of an infectious focus (either clinically assessed or based on chest X-ray, urine samples, or ascites puncture), age below 18 or above 75 years, ongoing gastro-intestinal bleeding or bleeding within the previous 3 months, or any previous immune-modulating therapy.</w:t>
            </w:r>
          </w:p>
        </w:tc>
      </w:tr>
    </w:tbl>
    <w:p w:rsidR="00F84473" w:rsidRDefault="004A40FE" w:rsidP="004E1F66">
      <w:pPr>
        <w:adjustRightInd w:val="0"/>
        <w:snapToGrid w:val="0"/>
        <w:spacing w:line="480" w:lineRule="auto"/>
        <w:jc w:val="both"/>
      </w:pPr>
      <w:r>
        <w:t xml:space="preserve"> </w:t>
      </w:r>
    </w:p>
    <w:p w:rsidR="004E1F66" w:rsidRDefault="004E1F66" w:rsidP="004E1F66">
      <w:pPr>
        <w:adjustRightInd w:val="0"/>
        <w:snapToGrid w:val="0"/>
        <w:spacing w:line="480" w:lineRule="auto"/>
        <w:jc w:val="both"/>
      </w:pPr>
    </w:p>
    <w:p w:rsidR="008B0837" w:rsidRPr="00BE6CCE" w:rsidRDefault="008B0837" w:rsidP="004E1F66">
      <w:pPr>
        <w:adjustRightInd w:val="0"/>
        <w:snapToGrid w:val="0"/>
        <w:spacing w:line="480" w:lineRule="auto"/>
        <w:jc w:val="both"/>
        <w:rPr>
          <w:b/>
        </w:rPr>
      </w:pPr>
      <w:r w:rsidRPr="00BE6CCE">
        <w:rPr>
          <w:b/>
        </w:rPr>
        <w:lastRenderedPageBreak/>
        <w:t>References</w:t>
      </w:r>
    </w:p>
    <w:p w:rsidR="00F84473" w:rsidRPr="00CF4882" w:rsidRDefault="00F84473" w:rsidP="00F84473">
      <w:pPr>
        <w:pStyle w:val="EndNoteBibliography"/>
        <w:adjustRightInd w:val="0"/>
        <w:snapToGrid w:val="0"/>
        <w:rPr>
          <w:sz w:val="24"/>
        </w:rPr>
      </w:pPr>
      <w:r w:rsidRPr="00CF4882">
        <w:rPr>
          <w:sz w:val="24"/>
        </w:rPr>
        <w:t>[16] Vesterhus M, Hov JR, Holm A, Schrumpf E, Nygard S, Godang K</w:t>
      </w:r>
      <w:r w:rsidRPr="00CF4882">
        <w:rPr>
          <w:i/>
          <w:sz w:val="24"/>
        </w:rPr>
        <w:t>, et al.</w:t>
      </w:r>
      <w:r w:rsidRPr="00CF4882">
        <w:rPr>
          <w:sz w:val="24"/>
        </w:rPr>
        <w:t xml:space="preserve"> Enhanced liver fibrosis score predicts transplant-free survival in primary sclerosing cholangitis. Hepatology 2015;62(1):188-197. doi: 10.1002/hep.27825. </w:t>
      </w:r>
      <w:r>
        <w:rPr>
          <w:sz w:val="24"/>
        </w:rPr>
        <w:t>PubMed PMID:</w:t>
      </w:r>
      <w:r w:rsidRPr="00CF4882">
        <w:rPr>
          <w:sz w:val="24"/>
        </w:rPr>
        <w:t xml:space="preserve"> 25833813</w:t>
      </w:r>
      <w:r>
        <w:rPr>
          <w:sz w:val="24"/>
        </w:rPr>
        <w:t>.</w:t>
      </w:r>
    </w:p>
    <w:p w:rsidR="00F84473" w:rsidRPr="00CF4882" w:rsidRDefault="00F84473" w:rsidP="00F84473">
      <w:pPr>
        <w:pStyle w:val="EndNoteBibliography"/>
        <w:adjustRightInd w:val="0"/>
        <w:snapToGrid w:val="0"/>
        <w:rPr>
          <w:sz w:val="24"/>
        </w:rPr>
      </w:pPr>
      <w:r w:rsidRPr="00CF4882">
        <w:rPr>
          <w:sz w:val="24"/>
        </w:rPr>
        <w:t>[17] Gronbaek H, Kreutzfeldt M, Kazankov K, Jessen N, Sandahl T, Hamilton-Dutoit S</w:t>
      </w:r>
      <w:r w:rsidRPr="00CF4882">
        <w:rPr>
          <w:i/>
          <w:sz w:val="24"/>
        </w:rPr>
        <w:t>, et al.</w:t>
      </w:r>
      <w:r w:rsidRPr="00CF4882">
        <w:rPr>
          <w:sz w:val="24"/>
        </w:rPr>
        <w:t xml:space="preserve"> Single-centre experience of the macrophage activation marker soluble (s)CD163 - associations with disease activity and treatment response in patients with autoimmune hepatitis. Aliment Pharmacol Ther 2016;44(10):1062-1070. doi: 10.1111/apt.13801. </w:t>
      </w:r>
      <w:r>
        <w:rPr>
          <w:sz w:val="24"/>
        </w:rPr>
        <w:t>PubMed PMID:</w:t>
      </w:r>
      <w:r w:rsidRPr="00CF4882">
        <w:rPr>
          <w:sz w:val="24"/>
        </w:rPr>
        <w:t xml:space="preserve"> 27679428</w:t>
      </w:r>
      <w:r>
        <w:rPr>
          <w:sz w:val="24"/>
        </w:rPr>
        <w:t>.</w:t>
      </w:r>
    </w:p>
    <w:p w:rsidR="00F84473" w:rsidRPr="00CF4882" w:rsidRDefault="00F84473" w:rsidP="00F84473">
      <w:pPr>
        <w:pStyle w:val="EndNoteBibliography"/>
        <w:adjustRightInd w:val="0"/>
        <w:snapToGrid w:val="0"/>
        <w:rPr>
          <w:sz w:val="24"/>
        </w:rPr>
      </w:pPr>
      <w:r w:rsidRPr="00CF4882">
        <w:rPr>
          <w:sz w:val="24"/>
        </w:rPr>
        <w:t xml:space="preserve">[18] </w:t>
      </w:r>
      <w:r w:rsidRPr="00DF44DF">
        <w:rPr>
          <w:sz w:val="24"/>
        </w:rPr>
        <w:t xml:space="preserve">Laursen TL, Siggaard CB, Kazankov K, Sandahl TD, Møller HJ, Tarp B, </w:t>
      </w:r>
      <w:r>
        <w:rPr>
          <w:sz w:val="24"/>
        </w:rPr>
        <w:t>et al</w:t>
      </w:r>
      <w:r w:rsidRPr="00DF44DF">
        <w:rPr>
          <w:sz w:val="24"/>
        </w:rPr>
        <w:t xml:space="preserve">. Time-dependent improvement of liver inflammation, fibrosis and metabolic liver function after successful direct-acting antiviral therapy of chronic hepatitis C. J Viral Hepat 2020;27(1):28-35. doi: 10.1111/jvh.13204. </w:t>
      </w:r>
      <w:r>
        <w:rPr>
          <w:sz w:val="24"/>
        </w:rPr>
        <w:t>PubMed PMID:</w:t>
      </w:r>
      <w:r w:rsidRPr="00DF44DF">
        <w:rPr>
          <w:sz w:val="24"/>
        </w:rPr>
        <w:t xml:space="preserve"> 31502741.</w:t>
      </w:r>
    </w:p>
    <w:p w:rsidR="00F84473" w:rsidRPr="00CF4882" w:rsidRDefault="00920D06" w:rsidP="004E1F66">
      <w:pPr>
        <w:adjustRightInd w:val="0"/>
        <w:snapToGrid w:val="0"/>
        <w:spacing w:line="480" w:lineRule="auto"/>
        <w:jc w:val="both"/>
      </w:pPr>
      <w:r w:rsidRPr="003A13B7">
        <w:rPr>
          <w:sz w:val="24"/>
          <w:lang w:val="da-DK"/>
        </w:rPr>
        <w:t>[21] Sandahl TD, Gronbaek H, Moller HJ, Stoy S, Thomsen KL, Dige AK</w:t>
      </w:r>
      <w:r w:rsidRPr="003A13B7">
        <w:rPr>
          <w:i/>
          <w:sz w:val="24"/>
          <w:lang w:val="da-DK"/>
        </w:rPr>
        <w:t>, et al.</w:t>
      </w:r>
      <w:r w:rsidRPr="003A13B7">
        <w:rPr>
          <w:sz w:val="24"/>
          <w:lang w:val="da-DK"/>
        </w:rPr>
        <w:t xml:space="preserve"> </w:t>
      </w:r>
      <w:r w:rsidRPr="00CF4882">
        <w:rPr>
          <w:sz w:val="24"/>
        </w:rPr>
        <w:t xml:space="preserve">Hepatic macrophage activation and the LPS pathway in patients with alcoholic hepatitis: a prospective cohort study. Am J Gastroenterol 2014;109(11):1749-1756. doi: 10.1038/ajg.2014.262. </w:t>
      </w:r>
      <w:r>
        <w:rPr>
          <w:sz w:val="24"/>
        </w:rPr>
        <w:t>PubMed PMID:</w:t>
      </w:r>
      <w:r w:rsidRPr="00CF4882">
        <w:rPr>
          <w:sz w:val="24"/>
        </w:rPr>
        <w:t xml:space="preserve"> 25155228</w:t>
      </w:r>
      <w:r>
        <w:rPr>
          <w:sz w:val="24"/>
        </w:rPr>
        <w:t>.</w:t>
      </w:r>
    </w:p>
    <w:sectPr w:rsidR="00F84473" w:rsidRPr="00CF4882" w:rsidSect="00EE29F1">
      <w:headerReference w:type="even" r:id="rId6"/>
      <w:head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37" w:rsidRDefault="00546A37" w:rsidP="0066437C">
      <w:pPr>
        <w:spacing w:after="0" w:line="240" w:lineRule="auto"/>
      </w:pPr>
      <w:r>
        <w:separator/>
      </w:r>
    </w:p>
  </w:endnote>
  <w:endnote w:type="continuationSeparator" w:id="1">
    <w:p w:rsidR="00546A37" w:rsidRDefault="00546A37" w:rsidP="0066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37" w:rsidRDefault="00546A37" w:rsidP="0066437C">
      <w:pPr>
        <w:spacing w:after="0" w:line="240" w:lineRule="auto"/>
      </w:pPr>
      <w:r>
        <w:separator/>
      </w:r>
    </w:p>
  </w:footnote>
  <w:footnote w:type="continuationSeparator" w:id="1">
    <w:p w:rsidR="00546A37" w:rsidRDefault="00546A37" w:rsidP="0066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62" w:rsidRDefault="00DF6015" w:rsidP="001D2F0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0461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22E62" w:rsidRDefault="00546A37" w:rsidP="00BB7FA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62" w:rsidRDefault="00546A37" w:rsidP="001D2F0A">
    <w:pPr>
      <w:pStyle w:val="Header"/>
      <w:framePr w:wrap="none" w:vAnchor="text" w:hAnchor="margin" w:xAlign="right" w:y="1"/>
      <w:rPr>
        <w:rStyle w:val="PageNumber"/>
      </w:rPr>
    </w:pPr>
  </w:p>
  <w:p w:rsidR="00222E62" w:rsidRDefault="00546A37" w:rsidP="00BB7FA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BA4"/>
    <w:rsid w:val="002E6670"/>
    <w:rsid w:val="004A40FE"/>
    <w:rsid w:val="004E1F66"/>
    <w:rsid w:val="00542649"/>
    <w:rsid w:val="00546A37"/>
    <w:rsid w:val="0066437C"/>
    <w:rsid w:val="00731BA4"/>
    <w:rsid w:val="007435F8"/>
    <w:rsid w:val="008B0837"/>
    <w:rsid w:val="00920D06"/>
    <w:rsid w:val="00924CBB"/>
    <w:rsid w:val="00BE6CCE"/>
    <w:rsid w:val="00DF6015"/>
    <w:rsid w:val="00E50461"/>
    <w:rsid w:val="00F8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BA4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731BA4"/>
    <w:rPr>
      <w:rFonts w:ascii="Times New Roman" w:hAnsi="Times New Roman" w:cs="Times New Roman"/>
      <w:sz w:val="24"/>
      <w:szCs w:val="24"/>
      <w:lang w:eastAsia="da-DK"/>
    </w:rPr>
  </w:style>
  <w:style w:type="character" w:styleId="PageNumber">
    <w:name w:val="page number"/>
    <w:basedOn w:val="DefaultParagraphFont"/>
    <w:uiPriority w:val="99"/>
    <w:semiHidden/>
    <w:unhideWhenUsed/>
    <w:rsid w:val="00731BA4"/>
    <w:rPr>
      <w:rFonts w:cs="Times New Roman"/>
    </w:rPr>
  </w:style>
  <w:style w:type="table" w:styleId="TableGrid">
    <w:name w:val="Table Grid"/>
    <w:basedOn w:val="TableNormal"/>
    <w:uiPriority w:val="39"/>
    <w:rsid w:val="00731BA4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1B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EndNoteBibliography">
    <w:name w:val="EndNote Bibliography"/>
    <w:basedOn w:val="Normal"/>
    <w:link w:val="EndNoteBibliographyTegn"/>
    <w:rsid w:val="00F84473"/>
    <w:pPr>
      <w:spacing w:after="0" w:line="480" w:lineRule="auto"/>
      <w:jc w:val="both"/>
    </w:pPr>
    <w:rPr>
      <w:rFonts w:ascii="Times New Roman" w:hAnsi="Times New Roman" w:cs="Times New Roman"/>
      <w:szCs w:val="24"/>
      <w:lang w:eastAsia="da-DK"/>
    </w:rPr>
  </w:style>
  <w:style w:type="character" w:customStyle="1" w:styleId="EndNoteBibliographyTegn">
    <w:name w:val="EndNote Bibliography Tegn"/>
    <w:basedOn w:val="DefaultParagraphFont"/>
    <w:link w:val="EndNoteBibliography"/>
    <w:locked/>
    <w:rsid w:val="00F84473"/>
    <w:rPr>
      <w:rFonts w:ascii="Times New Roman" w:hAnsi="Times New Roman" w:cs="Times New Roman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11</cp:revision>
  <dcterms:created xsi:type="dcterms:W3CDTF">2022-03-10T07:09:00Z</dcterms:created>
  <dcterms:modified xsi:type="dcterms:W3CDTF">2022-03-10T07:27:00Z</dcterms:modified>
</cp:coreProperties>
</file>