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AA34" w14:textId="77777777" w:rsidR="00CC1C50" w:rsidRDefault="00CC1C50" w:rsidP="00CC1C50">
      <w:pPr>
        <w:spacing w:line="480" w:lineRule="auto"/>
        <w:rPr>
          <w:rFonts w:ascii="Times New Roman" w:hAnsi="Times New Roman" w:cs="Times New Roman"/>
        </w:rPr>
      </w:pPr>
    </w:p>
    <w:p w14:paraId="09723AD3" w14:textId="77777777" w:rsidR="00CC1C50" w:rsidRDefault="00CC1C50" w:rsidP="00CC1C50">
      <w:pPr>
        <w:adjustRightInd w:val="0"/>
        <w:snapToGrid w:val="0"/>
        <w:spacing w:line="480" w:lineRule="auto"/>
        <w:outlineLvl w:val="0"/>
        <w:rPr>
          <w:rFonts w:ascii="Times New Roman" w:hAnsi="Times New Roman" w:cs="Times New Roman"/>
          <w:b/>
          <w:bCs/>
        </w:rPr>
      </w:pPr>
      <w:bookmarkStart w:id="0" w:name="_Toc216278130"/>
      <w:r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 w:hint="eastAsia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Predictive value of virologic markers in predicting HBeAg loss</w:t>
      </w:r>
      <w:r>
        <w:t xml:space="preserve"> </w:t>
      </w:r>
      <w:r>
        <w:rPr>
          <w:rFonts w:ascii="Times New Roman" w:hAnsi="Times New Roman" w:cs="Times New Roman"/>
        </w:rPr>
        <w:t>with pegylated interferon in patients with CHB</w:t>
      </w:r>
      <w:bookmarkEnd w:id="0"/>
    </w:p>
    <w:tbl>
      <w:tblPr>
        <w:tblW w:w="13745" w:type="dxa"/>
        <w:tblLook w:val="04A0" w:firstRow="1" w:lastRow="0" w:firstColumn="1" w:lastColumn="0" w:noHBand="0" w:noVBand="1"/>
      </w:tblPr>
      <w:tblGrid>
        <w:gridCol w:w="990"/>
        <w:gridCol w:w="1080"/>
        <w:gridCol w:w="3312"/>
        <w:gridCol w:w="2268"/>
        <w:gridCol w:w="2410"/>
        <w:gridCol w:w="1984"/>
        <w:gridCol w:w="1701"/>
      </w:tblGrid>
      <w:tr w:rsidR="00CC1C50" w14:paraId="33B4CF4D" w14:textId="77777777" w:rsidTr="006935B7">
        <w:trPr>
          <w:trHeight w:val="6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16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</w:rPr>
              <w:t>No of studies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0C6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</w:rPr>
              <w:t>No of patients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91CBE82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</w:rPr>
              <w:t>Predictors (log10 IU/ml)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EC54C01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</w:rPr>
              <w:t>PLR (95%CI)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01A6D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</w:rPr>
              <w:t>NLR (95%CI)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46A7646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</w:rPr>
              <w:t>I</w:t>
            </w:r>
            <w:r>
              <w:rPr>
                <w:rFonts w:ascii="Times New Roman" w:eastAsia="DengXian" w:hAnsi="Times New Roman" w:cs="Times New Roman"/>
                <w:b/>
                <w:bCs/>
                <w:kern w:val="0"/>
                <w:vertAlign w:val="superscript"/>
              </w:rPr>
              <w:t>2</w:t>
            </w:r>
            <w:r>
              <w:rPr>
                <w:rFonts w:ascii="Times New Roman" w:eastAsia="DengXian" w:hAnsi="Times New Roman" w:cs="Times New Roman"/>
                <w:b/>
                <w:bCs/>
                <w:kern w:val="0"/>
              </w:rPr>
              <w:t xml:space="preserve"> (%, 95%CI)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14:paraId="7348320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</w:rPr>
              <w:t>P value</w:t>
            </w:r>
          </w:p>
        </w:tc>
      </w:tr>
      <w:tr w:rsidR="00CC1C50" w14:paraId="37DCA3EC" w14:textId="77777777" w:rsidTr="006935B7">
        <w:trPr>
          <w:trHeight w:val="54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8187D4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44951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1125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8CC0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Baseline HBVRNA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9051C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0.7 (0, 16.7)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5DCB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1.07 (0.7, 1.65)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10E4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99.1 (98.6, 99.5)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DA3A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7A0B9C8F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89758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6F230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1125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05D1F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HBVRNA at week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15F55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 (1.4, 3)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30E0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0.28 (0.09, 0.87)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E0DB1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97.4 (95.7, 99.1)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0F6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40CAE59B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82185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ED1F04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398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BD2FE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HBVRNA at week 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A1B6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1.7 (1.3, 2.3)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978E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0.26 (0.07, 0.97)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F60B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95.0 (90.9, 99.1)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E8540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6B6265FB" w14:textId="77777777" w:rsidTr="006935B7">
        <w:trPr>
          <w:trHeight w:val="49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D740C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DDDBF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1941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CE80E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Baseline HBsAg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F1995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1.7 (1.4, 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5415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0.57 (0.47, 0.7)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B89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97.2 (95.3, 99.1)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21FFF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4B90065D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EF413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A51479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2197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F42B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HBsAg at week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F61B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1.9 (1.5, 2.3)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561C9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 xml:space="preserve"> 0.41 (0.27, 0.63)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5127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99.3 (98.9, 99.6)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347A2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7F001993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510901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D368CC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852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8104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HBsAg at week 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58082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2.1 (1.8, 2.5)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FD9B6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 xml:space="preserve"> 0.23 (0.09, 0.60)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FF6D4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97.3 (95.5, 99.1)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D0972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7FEAB2DA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E2215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254FFC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1334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A406E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HBsAg decline at week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6732F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1.9 (1.2, 3.2)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DA6E4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0.63 (0.46, 0.87)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75D0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99.2 (98.8, 99.6)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C5F24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1FB70E1B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DC6009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5D2970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631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B844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HBsAg decline at week 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F7D46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2.6 (1.1, 6.5)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5D7A5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0.58 (0.41, 0.81)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EC07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98.8 (98.1, 99.4)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A61CF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21D6E052" w14:textId="77777777" w:rsidTr="006935B7">
        <w:trPr>
          <w:trHeight w:val="49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4D55C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9A030F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965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45215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Baseline HBeAg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DBE3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1.9 (1.3, 2.8)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7A5A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0.70 (0.55, 0.90)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B487F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90.7 (81.8, 99.7)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8EC8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1AF76BA7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686522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C9DC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1131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E69C9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HBeAg at week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D135E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2.3 (1.6, 3.2)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CE4B4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0.35 (0.20, 0.60)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E81E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97.9 (96.6, 99.2)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AD482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01BD2AA5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E992D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B37CF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687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E5D1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HBeAg at week 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6D04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2.1 (1.8, 2.4)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18DE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0.22 (0.12, 0.43)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DF41F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90.5 (81.2, 99.7)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B000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63845628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19B975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EC9C3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374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1CB3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HBeAg decline at week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EB42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3.7 (0.6, 24.3)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249F0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0.44 (0.26, 0.74)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B22C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96.9 (94.7, 99.1)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F4A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121B4875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EA170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82EB05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374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EF97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HBeAg decline at week 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5B54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2.1 (1.4, 3.1)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85D9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0.37 (0.22, 0.63)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AC91C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91.8 (84.1, 99.5)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228FE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3EEAC8F1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B75C1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559370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2158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5ED6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Baseline HBVDNA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2623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1.9 (1.4, 2.6)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E95DE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0.69 (0.64, 0.76)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8673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97.0 (94.8, 99.1)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BEB9C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58A177BA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2B9666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35A085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1174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BE38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HBVDNA at week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3E038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2.5 (1.7, 3.7)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DB710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0.41 (0.25, 0.68)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7E2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97.5 (95.8, 99.2)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3A659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70270B7B" w14:textId="77777777" w:rsidTr="006935B7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7AFAC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F386D4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974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82106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HBVDNA at week 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7AAE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1.8 (1.2, 2.9)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399CA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0.3 (0.16, 0.54)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F8D42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98.0 (96.8, 99.2)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B03A0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332465E5" w14:textId="77777777" w:rsidTr="006935B7">
        <w:trPr>
          <w:trHeight w:val="639"/>
        </w:trPr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4F05F4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483E85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374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75C26D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HBVDNA decline at week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B0A17F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1.9 (1.4, 2.5)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304D11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0.49 (0.35, 0.69)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096D67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86.5 (72.1, 100)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B6D55E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  <w:tr w:rsidR="00CC1C50" w14:paraId="146A9D36" w14:textId="77777777" w:rsidTr="006935B7">
        <w:trPr>
          <w:trHeight w:val="8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5C781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35403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374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11C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HBVDNA decline at week 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034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2.4 (1.5, 4.0)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621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0.48 (0.35, 0.65)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C0B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33.3 (0, 100)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5AB5" w14:textId="77777777" w:rsidR="00CC1C50" w:rsidRDefault="00CC1C50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</w:rPr>
            </w:pPr>
            <w:r>
              <w:rPr>
                <w:rFonts w:ascii="Times New Roman" w:eastAsia="DengXian" w:hAnsi="Times New Roman" w:cs="Times New Roman"/>
                <w:kern w:val="0"/>
              </w:rPr>
              <w:t>&lt; 0.001</w:t>
            </w:r>
          </w:p>
        </w:tc>
      </w:tr>
    </w:tbl>
    <w:p w14:paraId="591DD0B8" w14:textId="77777777" w:rsidR="00CC1C50" w:rsidRDefault="00CC1C50" w:rsidP="00CC1C5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AUC, area under receiver operating characteristic curve; CI, confidence interval; DOR, diagnostic odds ratio; </w:t>
      </w:r>
      <w:r>
        <w:rPr>
          <w:rFonts w:ascii="Times New Roman" w:eastAsia="DengXian" w:hAnsi="Times New Roman" w:cs="Times New Roman"/>
          <w:kern w:val="0"/>
        </w:rPr>
        <w:t>HBeAg,</w:t>
      </w:r>
      <w:r>
        <w:rPr>
          <w:rFonts w:ascii="Times New Roman" w:hAnsi="Times New Roman" w:cs="Times New Roman"/>
        </w:rPr>
        <w:t xml:space="preserve"> hepatitis B e antigen; HBsAg, hepatitis B surface antigen; HBV, hepatitis B virus; P</w:t>
      </w:r>
      <w:r>
        <w:rPr>
          <w:rFonts w:ascii="Times New Roman" w:eastAsia="DengXian" w:hAnsi="Times New Roman" w:cs="Times New Roman"/>
          <w:kern w:val="0"/>
        </w:rPr>
        <w:t>LR, positive likelihood ratio; NLR, negative likelihood ratio.</w:t>
      </w:r>
    </w:p>
    <w:p w14:paraId="5583EAA2" w14:textId="77777777" w:rsidR="002167F5" w:rsidRDefault="002167F5"/>
    <w:sectPr w:rsidR="002167F5" w:rsidSect="00D00CC2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637B" w14:textId="77777777" w:rsidR="00581C69" w:rsidRDefault="00581C69" w:rsidP="00CC1C50">
      <w:pPr>
        <w:spacing w:after="0" w:line="240" w:lineRule="auto"/>
      </w:pPr>
      <w:r>
        <w:separator/>
      </w:r>
    </w:p>
  </w:endnote>
  <w:endnote w:type="continuationSeparator" w:id="0">
    <w:p w14:paraId="18A3D3A5" w14:textId="77777777" w:rsidR="00581C69" w:rsidRDefault="00581C69" w:rsidP="00CC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56C4" w14:textId="77777777" w:rsidR="00581C69" w:rsidRDefault="00581C69" w:rsidP="00CC1C50">
      <w:pPr>
        <w:spacing w:after="0" w:line="240" w:lineRule="auto"/>
      </w:pPr>
      <w:r>
        <w:separator/>
      </w:r>
    </w:p>
  </w:footnote>
  <w:footnote w:type="continuationSeparator" w:id="0">
    <w:p w14:paraId="1A9747D3" w14:textId="77777777" w:rsidR="00581C69" w:rsidRDefault="00581C69" w:rsidP="00CC1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F5"/>
    <w:rsid w:val="002167F5"/>
    <w:rsid w:val="00581C69"/>
    <w:rsid w:val="006922E2"/>
    <w:rsid w:val="00CC1C50"/>
    <w:rsid w:val="00D0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A1BBAB-1A06-433A-8773-BD3625B2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7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7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7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7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C50"/>
  </w:style>
  <w:style w:type="paragraph" w:styleId="Footer">
    <w:name w:val="footer"/>
    <w:basedOn w:val="Normal"/>
    <w:link w:val="FooterChar"/>
    <w:uiPriority w:val="99"/>
    <w:unhideWhenUsed/>
    <w:rsid w:val="00CC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2025-12-16T02:02:00Z</dcterms:created>
  <dcterms:modified xsi:type="dcterms:W3CDTF">2025-12-16T02:02:00Z</dcterms:modified>
</cp:coreProperties>
</file>