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DCF8" w14:textId="77777777" w:rsidR="00CA478B" w:rsidRDefault="00CA478B" w:rsidP="00CA478B">
      <w:pPr>
        <w:rPr>
          <w:rFonts w:ascii="Times New Roman" w:hAnsi="Times New Roman" w:cs="Times New Roman"/>
          <w:b/>
          <w:bCs/>
        </w:rPr>
      </w:pPr>
    </w:p>
    <w:p w14:paraId="5DA9C1DA" w14:textId="77777777" w:rsidR="00CA478B" w:rsidRDefault="00CA478B" w:rsidP="00CA478B">
      <w:pPr>
        <w:spacing w:line="480" w:lineRule="auto"/>
        <w:outlineLvl w:val="0"/>
        <w:rPr>
          <w:rFonts w:ascii="Times New Roman" w:hAnsi="Times New Roman" w:cs="Times New Roman"/>
        </w:rPr>
      </w:pPr>
      <w:bookmarkStart w:id="0" w:name="_Toc216278128"/>
      <w:r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HBsAg-related markers predicting functional cure with pegylated interferon in patients with HBeAg-negative CHB</w:t>
      </w:r>
      <w:bookmarkEnd w:id="0"/>
    </w:p>
    <w:tbl>
      <w:tblPr>
        <w:tblW w:w="14760" w:type="dxa"/>
        <w:tblLook w:val="04A0" w:firstRow="1" w:lastRow="0" w:firstColumn="1" w:lastColumn="0" w:noHBand="0" w:noVBand="1"/>
      </w:tblPr>
      <w:tblGrid>
        <w:gridCol w:w="894"/>
        <w:gridCol w:w="2396"/>
        <w:gridCol w:w="1600"/>
        <w:gridCol w:w="1592"/>
        <w:gridCol w:w="1259"/>
        <w:gridCol w:w="1620"/>
        <w:gridCol w:w="1710"/>
        <w:gridCol w:w="1980"/>
        <w:gridCol w:w="1710"/>
      </w:tblGrid>
      <w:tr w:rsidR="00CA478B" w14:paraId="38A3BE16" w14:textId="77777777" w:rsidTr="006935B7">
        <w:trPr>
          <w:trHeight w:val="78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A508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No of patients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DFFC5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Predictors (log</w:t>
            </w: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:vertAlign w:val="subscript"/>
              </w:rPr>
              <w:t>10</w:t>
            </w: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 IU/ml)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799F690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Sensitivity (95%CI)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94F5E2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Specificity (95%CI)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5A9DDCE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PLR (95%CI)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0AF0798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NLR (95%CI)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5C3314D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AUC (range)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C474412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DOR (95%CI)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50B2C00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>I</w:t>
            </w: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0"/>
                <w:szCs w:val="20"/>
              </w:rPr>
              <w:t xml:space="preserve"> (%, 95%CI)</w:t>
            </w:r>
          </w:p>
        </w:tc>
      </w:tr>
      <w:tr w:rsidR="00CA478B" w14:paraId="34FB7E19" w14:textId="77777777" w:rsidTr="006935B7">
        <w:trPr>
          <w:trHeight w:val="49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C033C5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600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8F0E57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Baseline HBsAg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61086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0.85 (0.77, 0.91)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54B454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0.74 (0.57, 0.86)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96D793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3.3 (1.8, 5.9)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D9132B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0.20 (0.12, 0.33)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C1409E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0.86 (0.82 - 0.88)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D8F21A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16.77 (6.41, 43.88)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CC76EE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76.8 (49.2, 100)</w:t>
            </w:r>
          </w:p>
        </w:tc>
      </w:tr>
      <w:tr w:rsidR="00CA478B" w14:paraId="24309369" w14:textId="77777777" w:rsidTr="006935B7">
        <w:trPr>
          <w:trHeight w:val="490"/>
        </w:trPr>
        <w:tc>
          <w:tcPr>
            <w:tcW w:w="8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F2165D1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416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4BC982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HBsAg decline at week 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97E5E1E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0.75 (0.57, 0.87)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FED48DD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0.71 (0.61, 0.79)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D112751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2.6 (1.9, 3.6)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61E30E1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0.35 (0.19, 0.63)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F461B80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0.80 (0.76 - 0.83)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F99EFC4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7.48 (3.33, 16.82)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F900C32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20.32 (0, 100)</w:t>
            </w:r>
          </w:p>
        </w:tc>
      </w:tr>
      <w:tr w:rsidR="00CA478B" w14:paraId="6F37984F" w14:textId="77777777" w:rsidTr="006935B7">
        <w:trPr>
          <w:trHeight w:val="49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F44A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341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FB039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HBsAg decline at week 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83F90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0.97 (0.28, 1.00)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B74BF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0.60 (0.22, 0.89)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A796A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2.5 (1.0, 6.4)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0898F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0.04 (0.00, 2.68)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A19AE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0.91 (0.88 - 0.93)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7DCE3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55.61 (1.11, 2789.55)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1BE8A" w14:textId="77777777" w:rsidR="00CA478B" w:rsidRDefault="00CA478B" w:rsidP="006935B7">
            <w:pPr>
              <w:spacing w:line="276" w:lineRule="auto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  <w:t>93.7 (88.3, 99.2)</w:t>
            </w:r>
          </w:p>
        </w:tc>
      </w:tr>
    </w:tbl>
    <w:p w14:paraId="42DB0948" w14:textId="77777777" w:rsidR="00CA478B" w:rsidRDefault="00CA478B" w:rsidP="00CA4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AUC, area under receiver operating characteristic curve; CI, confidence interval; DOR, diagnostic odds ratio; HBsAg, hepatitis B surface antigen; HBV, hepatitis B virus; P</w:t>
      </w:r>
      <w:r>
        <w:rPr>
          <w:rFonts w:ascii="Times New Roman" w:eastAsia="DengXian" w:hAnsi="Times New Roman" w:cs="Times New Roman"/>
          <w:kern w:val="0"/>
        </w:rPr>
        <w:t>LR, positive likelihood ratio; NLR, negative likelihood ratio.</w:t>
      </w:r>
    </w:p>
    <w:p w14:paraId="2CE03E81" w14:textId="77777777" w:rsidR="00193076" w:rsidRDefault="00193076"/>
    <w:sectPr w:rsidR="00193076" w:rsidSect="00D625A3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3F50" w14:textId="77777777" w:rsidR="004622D9" w:rsidRDefault="004622D9" w:rsidP="00CA478B">
      <w:pPr>
        <w:spacing w:after="0" w:line="240" w:lineRule="auto"/>
      </w:pPr>
      <w:r>
        <w:separator/>
      </w:r>
    </w:p>
  </w:endnote>
  <w:endnote w:type="continuationSeparator" w:id="0">
    <w:p w14:paraId="336DE509" w14:textId="77777777" w:rsidR="004622D9" w:rsidRDefault="004622D9" w:rsidP="00CA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74D0" w14:textId="77777777" w:rsidR="004622D9" w:rsidRDefault="004622D9" w:rsidP="00CA478B">
      <w:pPr>
        <w:spacing w:after="0" w:line="240" w:lineRule="auto"/>
      </w:pPr>
      <w:r>
        <w:separator/>
      </w:r>
    </w:p>
  </w:footnote>
  <w:footnote w:type="continuationSeparator" w:id="0">
    <w:p w14:paraId="155BE6D0" w14:textId="77777777" w:rsidR="004622D9" w:rsidRDefault="004622D9" w:rsidP="00CA4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76"/>
    <w:rsid w:val="00193076"/>
    <w:rsid w:val="004622D9"/>
    <w:rsid w:val="006922E2"/>
    <w:rsid w:val="00835EF3"/>
    <w:rsid w:val="00CA478B"/>
    <w:rsid w:val="00D6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26AE19-BA3F-4907-A042-D81B923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0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0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0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0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0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78B"/>
  </w:style>
  <w:style w:type="paragraph" w:styleId="Footer">
    <w:name w:val="footer"/>
    <w:basedOn w:val="Normal"/>
    <w:link w:val="FooterChar"/>
    <w:uiPriority w:val="99"/>
    <w:unhideWhenUsed/>
    <w:rsid w:val="00CA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2025-12-16T02:01:00Z</dcterms:created>
  <dcterms:modified xsi:type="dcterms:W3CDTF">2025-12-16T02:02:00Z</dcterms:modified>
</cp:coreProperties>
</file>