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37" w:rsidRPr="003B7137" w:rsidRDefault="003B7137" w:rsidP="003B7137">
      <w:pPr>
        <w:spacing w:line="480" w:lineRule="auto"/>
        <w:rPr>
          <w:rFonts w:ascii="Times New Roman" w:hAnsi="Times New Roman" w:cs="Times New Roman"/>
          <w:b/>
          <w:szCs w:val="21"/>
        </w:rPr>
      </w:pPr>
      <w:proofErr w:type="gramStart"/>
      <w:r w:rsidRPr="003B7137">
        <w:rPr>
          <w:rFonts w:ascii="Times New Roman" w:hAnsi="Times New Roman" w:cs="Times New Roman"/>
          <w:b/>
          <w:bCs/>
          <w:sz w:val="20"/>
          <w:szCs w:val="20"/>
        </w:rPr>
        <w:t>Supplementary Table 6</w:t>
      </w:r>
      <w:r w:rsidRPr="003B7137">
        <w:rPr>
          <w:rFonts w:ascii="Times New Roman" w:hAnsi="Times New Roman" w:cs="Times New Roman"/>
          <w:b/>
          <w:szCs w:val="21"/>
        </w:rPr>
        <w:t>.</w:t>
      </w:r>
      <w:proofErr w:type="gramEnd"/>
      <w:r w:rsidRPr="003B7137">
        <w:rPr>
          <w:rFonts w:ascii="Times New Roman" w:hAnsi="Times New Roman" w:cs="Times New Roman"/>
          <w:b/>
          <w:szCs w:val="21"/>
        </w:rPr>
        <w:t xml:space="preserve"> Model performances of NI and NIBG variables for predicting the presence </w:t>
      </w:r>
      <w:r>
        <w:rPr>
          <w:rFonts w:ascii="Times New Roman" w:hAnsi="Times New Roman" w:cs="Times New Roman"/>
          <w:b/>
          <w:szCs w:val="21"/>
        </w:rPr>
        <w:t>of IPVD by different ML methods</w:t>
      </w:r>
    </w:p>
    <w:tbl>
      <w:tblPr>
        <w:tblStyle w:val="ListTable6Colorful-Accent5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687"/>
        <w:gridCol w:w="1675"/>
        <w:gridCol w:w="2146"/>
        <w:gridCol w:w="2146"/>
        <w:gridCol w:w="2265"/>
        <w:gridCol w:w="2268"/>
        <w:gridCol w:w="921"/>
      </w:tblGrid>
      <w:tr w:rsidR="003B7137" w:rsidRPr="003B7137" w:rsidTr="003B7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Borders>
              <w:top w:val="single" w:sz="4" w:space="0" w:color="auto"/>
              <w:left w:val="nil"/>
              <w:right w:val="nil"/>
            </w:tcBorders>
          </w:tcPr>
          <w:p w:rsidR="003B7137" w:rsidRPr="003B7137" w:rsidRDefault="003B7137" w:rsidP="003B7137">
            <w:pPr>
              <w:rPr>
                <w:rFonts w:ascii="Times New Roman" w:eastAsia="仿宋" w:hAnsi="Times New Roman" w:cs="Times New Roman"/>
                <w:color w:val="auto"/>
                <w:sz w:val="18"/>
                <w:szCs w:val="18"/>
              </w:rPr>
            </w:pPr>
            <w:bookmarkStart w:id="0" w:name="_Hlk26200539"/>
          </w:p>
        </w:tc>
        <w:tc>
          <w:tcPr>
            <w:tcW w:w="595" w:type="pct"/>
            <w:tcBorders>
              <w:top w:val="single" w:sz="4" w:space="0" w:color="auto"/>
              <w:left w:val="nil"/>
              <w:right w:val="nil"/>
            </w:tcBorders>
            <w:hideMark/>
          </w:tcPr>
          <w:p w:rsidR="003B7137" w:rsidRPr="003B7137" w:rsidRDefault="003B7137" w:rsidP="003B7137">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Dataset</w:t>
            </w:r>
          </w:p>
        </w:tc>
        <w:tc>
          <w:tcPr>
            <w:tcW w:w="591" w:type="pct"/>
            <w:tcBorders>
              <w:top w:val="single" w:sz="4" w:space="0" w:color="auto"/>
              <w:left w:val="nil"/>
              <w:right w:val="nil"/>
            </w:tcBorders>
            <w:hideMark/>
          </w:tcPr>
          <w:p w:rsidR="003B7137" w:rsidRPr="003B7137" w:rsidRDefault="003B7137" w:rsidP="003B7137">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AUROC</w:t>
            </w:r>
          </w:p>
        </w:tc>
        <w:tc>
          <w:tcPr>
            <w:tcW w:w="757" w:type="pct"/>
            <w:tcBorders>
              <w:top w:val="single" w:sz="4" w:space="0" w:color="auto"/>
              <w:left w:val="nil"/>
              <w:right w:val="nil"/>
            </w:tcBorders>
            <w:hideMark/>
          </w:tcPr>
          <w:p w:rsidR="003B7137" w:rsidRPr="003B7137" w:rsidRDefault="003B7137" w:rsidP="003B7137">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Sensitivity, %</w:t>
            </w:r>
          </w:p>
        </w:tc>
        <w:tc>
          <w:tcPr>
            <w:tcW w:w="757" w:type="pct"/>
            <w:tcBorders>
              <w:top w:val="single" w:sz="4" w:space="0" w:color="auto"/>
              <w:left w:val="nil"/>
              <w:right w:val="nil"/>
            </w:tcBorders>
            <w:hideMark/>
          </w:tcPr>
          <w:p w:rsidR="003B7137" w:rsidRPr="003B7137" w:rsidRDefault="003B7137" w:rsidP="003B7137">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Specificity, %</w:t>
            </w:r>
          </w:p>
        </w:tc>
        <w:tc>
          <w:tcPr>
            <w:tcW w:w="799" w:type="pct"/>
            <w:tcBorders>
              <w:top w:val="single" w:sz="4" w:space="0" w:color="auto"/>
              <w:left w:val="nil"/>
              <w:right w:val="nil"/>
            </w:tcBorders>
            <w:hideMark/>
          </w:tcPr>
          <w:p w:rsidR="003B7137" w:rsidRPr="003B7137" w:rsidRDefault="003B7137" w:rsidP="003B7137">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PPV, %</w:t>
            </w:r>
          </w:p>
        </w:tc>
        <w:tc>
          <w:tcPr>
            <w:tcW w:w="800" w:type="pct"/>
            <w:tcBorders>
              <w:top w:val="single" w:sz="4" w:space="0" w:color="auto"/>
              <w:left w:val="nil"/>
              <w:right w:val="nil"/>
            </w:tcBorders>
            <w:hideMark/>
          </w:tcPr>
          <w:p w:rsidR="003B7137" w:rsidRPr="003B7137" w:rsidRDefault="003B7137" w:rsidP="003B7137">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NPV, %</w:t>
            </w:r>
          </w:p>
        </w:tc>
        <w:tc>
          <w:tcPr>
            <w:tcW w:w="325" w:type="pct"/>
            <w:tcBorders>
              <w:top w:val="single" w:sz="4" w:space="0" w:color="auto"/>
              <w:left w:val="nil"/>
              <w:right w:val="nil"/>
            </w:tcBorders>
            <w:hideMark/>
          </w:tcPr>
          <w:p w:rsidR="003B7137" w:rsidRPr="003B7137" w:rsidRDefault="003B7137" w:rsidP="003B7137">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F1 score</w:t>
            </w:r>
          </w:p>
        </w:tc>
      </w:tr>
      <w:tr w:rsidR="003B7137" w:rsidRPr="003B7137" w:rsidTr="003B7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nil"/>
              <w:bottom w:val="single" w:sz="4" w:space="0" w:color="auto"/>
              <w:right w:val="nil"/>
            </w:tcBorders>
            <w:hideMark/>
          </w:tcPr>
          <w:p w:rsidR="003B7137" w:rsidRPr="003B7137" w:rsidRDefault="003B7137" w:rsidP="003B7137">
            <w:pPr>
              <w:rPr>
                <w:rFonts w:ascii="Times New Roman" w:eastAsia="仿宋" w:hAnsi="Times New Roman" w:cs="Times New Roman"/>
                <w:b w:val="0"/>
                <w:bCs w:val="0"/>
                <w:color w:val="auto"/>
                <w:sz w:val="18"/>
                <w:szCs w:val="18"/>
              </w:rPr>
            </w:pPr>
            <w:r w:rsidRPr="003B7137">
              <w:rPr>
                <w:rFonts w:ascii="Times New Roman" w:eastAsia="仿宋" w:hAnsi="Times New Roman" w:cs="Times New Roman"/>
                <w:color w:val="auto"/>
                <w:sz w:val="18"/>
                <w:szCs w:val="18"/>
              </w:rPr>
              <w:t>NI model</w:t>
            </w:r>
          </w:p>
        </w:tc>
      </w:tr>
      <w:tr w:rsidR="003B7137" w:rsidRPr="003B7137" w:rsidTr="003B7137">
        <w:tc>
          <w:tcPr>
            <w:cnfStyle w:val="001000000000" w:firstRow="0" w:lastRow="0" w:firstColumn="1" w:lastColumn="0" w:oddVBand="0" w:evenVBand="0" w:oddHBand="0" w:evenHBand="0" w:firstRowFirstColumn="0" w:firstRowLastColumn="0" w:lastRowFirstColumn="0" w:lastRowLastColumn="0"/>
            <w:tcW w:w="376" w:type="pct"/>
            <w:vMerge w:val="restart"/>
            <w:tcBorders>
              <w:top w:val="single" w:sz="4" w:space="0" w:color="auto"/>
              <w:left w:val="nil"/>
              <w:bottom w:val="single" w:sz="4" w:space="0" w:color="auto"/>
              <w:right w:val="nil"/>
            </w:tcBorders>
            <w:hideMark/>
          </w:tcPr>
          <w:p w:rsidR="003B7137" w:rsidRPr="003B7137" w:rsidRDefault="003B7137" w:rsidP="003B7137">
            <w:pPr>
              <w:rPr>
                <w:rFonts w:ascii="Times New Roman" w:eastAsia="仿宋" w:hAnsi="Times New Roman" w:cs="Times New Roman"/>
                <w:b w:val="0"/>
                <w:bCs w:val="0"/>
                <w:color w:val="auto"/>
                <w:sz w:val="18"/>
                <w:szCs w:val="18"/>
              </w:rPr>
            </w:pPr>
            <w:proofErr w:type="spellStart"/>
            <w:r w:rsidRPr="003B7137">
              <w:rPr>
                <w:rFonts w:ascii="Times New Roman" w:eastAsia="仿宋" w:hAnsi="Times New Roman" w:cs="Times New Roman"/>
                <w:color w:val="auto"/>
                <w:sz w:val="18"/>
                <w:szCs w:val="18"/>
              </w:rPr>
              <w:t>AdaBoost</w:t>
            </w:r>
            <w:proofErr w:type="spellEnd"/>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Training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0.85 (0.79, 0.91)</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88.9 (83.6, 94.2)</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63.0 (54.8, 71.1)</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78.3 (71.3, 85.2)</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79.1 (72.2,85.9)</w:t>
            </w:r>
          </w:p>
        </w:tc>
        <w:tc>
          <w:tcPr>
            <w:tcW w:w="325"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0.78</w:t>
            </w:r>
          </w:p>
        </w:tc>
      </w:tr>
      <w:tr w:rsidR="003B7137" w:rsidRPr="003B7137" w:rsidTr="003B7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3B7137" w:rsidRPr="003B7137" w:rsidRDefault="003B7137" w:rsidP="003B7137">
            <w:pPr>
              <w:widowControl/>
              <w:jc w:val="left"/>
              <w:rPr>
                <w:rFonts w:ascii="Times New Roman" w:eastAsia="仿宋" w:hAnsi="Times New Roman" w:cs="Times New Roman"/>
                <w:color w:val="auto"/>
                <w:sz w:val="18"/>
                <w:szCs w:val="18"/>
              </w:rPr>
            </w:pP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Testing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0.81 (0.71, 0.91)</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88.9 (80.8, 97.0)</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63.6 (51.3, 76.0)</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80.0 (69.7, 90.3)</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77.8 (67.1,88.5)</w:t>
            </w:r>
          </w:p>
        </w:tc>
        <w:tc>
          <w:tcPr>
            <w:tcW w:w="325"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0.79</w:t>
            </w:r>
          </w:p>
        </w:tc>
      </w:tr>
      <w:tr w:rsidR="003B7137" w:rsidRPr="003B7137" w:rsidTr="003B7137">
        <w:tc>
          <w:tcPr>
            <w:cnfStyle w:val="001000000000" w:firstRow="0" w:lastRow="0" w:firstColumn="1" w:lastColumn="0" w:oddVBand="0" w:evenVBand="0" w:oddHBand="0" w:evenHBand="0" w:firstRowFirstColumn="0" w:firstRowLastColumn="0" w:lastRowFirstColumn="0" w:lastRowLastColumn="0"/>
            <w:tcW w:w="376" w:type="pct"/>
            <w:vMerge w:val="restart"/>
            <w:tcBorders>
              <w:top w:val="single" w:sz="4" w:space="0" w:color="auto"/>
              <w:left w:val="nil"/>
              <w:bottom w:val="single" w:sz="4" w:space="0" w:color="auto"/>
              <w:right w:val="nil"/>
            </w:tcBorders>
            <w:hideMark/>
          </w:tcPr>
          <w:p w:rsidR="003B7137" w:rsidRPr="003B7137" w:rsidRDefault="003B7137" w:rsidP="003B7137">
            <w:pPr>
              <w:rPr>
                <w:rFonts w:ascii="Times New Roman" w:hAnsi="Times New Roman" w:cs="Times New Roman"/>
                <w:b w:val="0"/>
                <w:bCs w:val="0"/>
                <w:color w:val="auto"/>
                <w:sz w:val="18"/>
                <w:szCs w:val="18"/>
              </w:rPr>
            </w:pPr>
            <w:r w:rsidRPr="003B7137">
              <w:rPr>
                <w:rFonts w:ascii="Times New Roman" w:hAnsi="Times New Roman" w:cs="Times New Roman"/>
                <w:color w:val="auto"/>
                <w:sz w:val="18"/>
                <w:szCs w:val="18"/>
              </w:rPr>
              <w:t>GBDT</w:t>
            </w: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Training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 xml:space="preserve">0.88 (0.83, 0.94) </w:t>
            </w:r>
            <w:r w:rsidRPr="003B7137">
              <w:rPr>
                <w:rFonts w:ascii="Times New Roman" w:hAnsi="Times New Roman" w:cs="Times New Roman"/>
                <w:color w:val="auto"/>
                <w:sz w:val="18"/>
                <w:szCs w:val="18"/>
                <w:vertAlign w:val="superscript"/>
              </w:rPr>
              <w:t>a</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90.1 (85.1, 95.2)</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61.1 (52.9, 69.3)</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77.7 (70.6, 84.7)</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80.5 (73.8, 87.2)</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0.78</w:t>
            </w:r>
          </w:p>
        </w:tc>
      </w:tr>
      <w:tr w:rsidR="003B7137" w:rsidRPr="003B7137" w:rsidTr="003B7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3B7137" w:rsidRPr="003B7137" w:rsidRDefault="003B7137" w:rsidP="003B7137">
            <w:pPr>
              <w:widowControl/>
              <w:jc w:val="left"/>
              <w:rPr>
                <w:rFonts w:ascii="Times New Roman" w:hAnsi="Times New Roman" w:cs="Times New Roman"/>
                <w:color w:val="auto"/>
                <w:sz w:val="18"/>
                <w:szCs w:val="18"/>
              </w:rPr>
            </w:pP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Testing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0.83 (0.74, 0.93)</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86.1 (77.2, 95.0)</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54.5 (41.7, 67.4)</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75.6 (64.6, 86.7)</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70.6 (58.9, 82.3)</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0.73</w:t>
            </w:r>
          </w:p>
        </w:tc>
      </w:tr>
      <w:tr w:rsidR="003B7137" w:rsidRPr="003B7137" w:rsidTr="003B7137">
        <w:tc>
          <w:tcPr>
            <w:cnfStyle w:val="001000000000" w:firstRow="0" w:lastRow="0" w:firstColumn="1" w:lastColumn="0" w:oddVBand="0" w:evenVBand="0" w:oddHBand="0" w:evenHBand="0" w:firstRowFirstColumn="0" w:firstRowLastColumn="0" w:lastRowFirstColumn="0" w:lastRowLastColumn="0"/>
            <w:tcW w:w="376" w:type="pct"/>
            <w:vMerge w:val="restart"/>
            <w:tcBorders>
              <w:top w:val="single" w:sz="4" w:space="0" w:color="auto"/>
              <w:left w:val="nil"/>
              <w:bottom w:val="single" w:sz="4" w:space="0" w:color="auto"/>
              <w:right w:val="nil"/>
            </w:tcBorders>
            <w:hideMark/>
          </w:tcPr>
          <w:p w:rsidR="003B7137" w:rsidRPr="003B7137" w:rsidRDefault="003B7137" w:rsidP="003B7137">
            <w:pPr>
              <w:rPr>
                <w:rFonts w:ascii="Times New Roman" w:hAnsi="Times New Roman" w:cs="Times New Roman"/>
                <w:b w:val="0"/>
                <w:bCs w:val="0"/>
                <w:color w:val="auto"/>
                <w:sz w:val="18"/>
                <w:szCs w:val="18"/>
              </w:rPr>
            </w:pPr>
            <w:r w:rsidRPr="003B7137">
              <w:rPr>
                <w:rFonts w:ascii="Times New Roman" w:hAnsi="Times New Roman" w:cs="Times New Roman"/>
                <w:color w:val="auto"/>
                <w:sz w:val="18"/>
                <w:szCs w:val="18"/>
              </w:rPr>
              <w:t>LR</w:t>
            </w: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Training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 xml:space="preserve">0.83 (0.77, 0.90) </w:t>
            </w:r>
            <w:r w:rsidRPr="003B7137">
              <w:rPr>
                <w:rFonts w:ascii="Times New Roman" w:hAnsi="Times New Roman" w:cs="Times New Roman"/>
                <w:color w:val="auto"/>
                <w:sz w:val="18"/>
                <w:szCs w:val="18"/>
                <w:vertAlign w:val="superscript"/>
              </w:rPr>
              <w:t>b</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71.6 (64.0, 79.2)</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81.5 (74.9, 88.0)</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85.3 (79.3, 91.3)</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65.7 (57.7, 73.7)</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0.76</w:t>
            </w:r>
          </w:p>
        </w:tc>
      </w:tr>
      <w:tr w:rsidR="003B7137" w:rsidRPr="003B7137" w:rsidTr="003B7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3B7137" w:rsidRPr="003B7137" w:rsidRDefault="003B7137" w:rsidP="003B7137">
            <w:pPr>
              <w:widowControl/>
              <w:jc w:val="left"/>
              <w:rPr>
                <w:rFonts w:ascii="Times New Roman" w:hAnsi="Times New Roman" w:cs="Times New Roman"/>
                <w:color w:val="auto"/>
                <w:sz w:val="18"/>
                <w:szCs w:val="18"/>
              </w:rPr>
            </w:pP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Testing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0.86 (0.77, 0.95)</w:t>
            </w:r>
            <w:r w:rsidRPr="003B7137">
              <w:rPr>
                <w:rFonts w:ascii="Times New Roman" w:hAnsi="Times New Roman" w:cs="Times New Roman"/>
                <w:color w:val="auto"/>
                <w:sz w:val="18"/>
                <w:szCs w:val="18"/>
                <w:vertAlign w:val="superscript"/>
              </w:rPr>
              <w:t xml:space="preserve"> a</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77.8 (67.1, 88.5)</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77.3 (66.5, 88.1)</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84.8 (75.6, 94.1)</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68.0 (56.0, 80.0)</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0.78</w:t>
            </w:r>
          </w:p>
        </w:tc>
      </w:tr>
      <w:tr w:rsidR="003B7137" w:rsidRPr="003B7137" w:rsidTr="003B7137">
        <w:tc>
          <w:tcPr>
            <w:cnfStyle w:val="001000000000" w:firstRow="0" w:lastRow="0" w:firstColumn="1" w:lastColumn="0" w:oddVBand="0" w:evenVBand="0" w:oddHBand="0" w:evenHBand="0" w:firstRowFirstColumn="0" w:firstRowLastColumn="0" w:lastRowFirstColumn="0" w:lastRowLastColumn="0"/>
            <w:tcW w:w="376" w:type="pct"/>
            <w:vMerge w:val="restart"/>
            <w:tcBorders>
              <w:top w:val="single" w:sz="4" w:space="0" w:color="auto"/>
              <w:left w:val="nil"/>
              <w:bottom w:val="single" w:sz="4" w:space="0" w:color="auto"/>
              <w:right w:val="nil"/>
            </w:tcBorders>
            <w:hideMark/>
          </w:tcPr>
          <w:p w:rsidR="003B7137" w:rsidRPr="003B7137" w:rsidRDefault="003B7137" w:rsidP="003B7137">
            <w:pPr>
              <w:rPr>
                <w:rFonts w:ascii="Times New Roman" w:hAnsi="Times New Roman" w:cs="Times New Roman"/>
                <w:b w:val="0"/>
                <w:bCs w:val="0"/>
                <w:color w:val="auto"/>
                <w:sz w:val="18"/>
                <w:szCs w:val="18"/>
              </w:rPr>
            </w:pPr>
            <w:r w:rsidRPr="003B7137">
              <w:rPr>
                <w:rFonts w:ascii="Times New Roman" w:hAnsi="Times New Roman" w:cs="Times New Roman"/>
                <w:color w:val="auto"/>
                <w:sz w:val="18"/>
                <w:szCs w:val="18"/>
              </w:rPr>
              <w:t>SVM</w:t>
            </w: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Training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 xml:space="preserve">0.88 (0.82, 0.93) </w:t>
            </w:r>
            <w:r w:rsidRPr="003B7137">
              <w:rPr>
                <w:rFonts w:ascii="Times New Roman" w:hAnsi="Times New Roman" w:cs="Times New Roman"/>
                <w:color w:val="auto"/>
                <w:sz w:val="18"/>
                <w:szCs w:val="18"/>
                <w:vertAlign w:val="superscript"/>
              </w:rPr>
              <w:t>c</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90.1 (85.1, 95.2)</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68.5 (60.7, 76.4)</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81.1 (74.5, 87.7)</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82.2 (75.8, 88.7)</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0.82</w:t>
            </w:r>
          </w:p>
        </w:tc>
      </w:tr>
      <w:tr w:rsidR="003B7137" w:rsidRPr="003B7137" w:rsidTr="003B7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3B7137" w:rsidRPr="003B7137" w:rsidRDefault="003B7137" w:rsidP="003B7137">
            <w:pPr>
              <w:widowControl/>
              <w:jc w:val="left"/>
              <w:rPr>
                <w:rFonts w:ascii="Times New Roman" w:hAnsi="Times New Roman" w:cs="Times New Roman"/>
                <w:color w:val="auto"/>
                <w:sz w:val="18"/>
                <w:szCs w:val="18"/>
              </w:rPr>
            </w:pP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Testing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0.84 (0.74, 0.93)</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91.7 (84.6, 98.8)</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63.6 (51.3, 76.0)</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80.5 (72.5, 92.2)</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82.4 (70.3, 90.7)</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0.80</w:t>
            </w:r>
          </w:p>
        </w:tc>
      </w:tr>
      <w:tr w:rsidR="003B7137" w:rsidRPr="003B7137" w:rsidTr="003B7137">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nil"/>
              <w:bottom w:val="single" w:sz="4" w:space="0" w:color="auto"/>
              <w:right w:val="nil"/>
            </w:tcBorders>
            <w:hideMark/>
          </w:tcPr>
          <w:p w:rsidR="003B7137" w:rsidRPr="003B7137" w:rsidRDefault="003B7137" w:rsidP="003B7137">
            <w:pPr>
              <w:rPr>
                <w:rFonts w:ascii="Times New Roman" w:hAnsi="Times New Roman" w:cs="Times New Roman"/>
                <w:b w:val="0"/>
                <w:bCs w:val="0"/>
                <w:color w:val="auto"/>
                <w:sz w:val="18"/>
                <w:szCs w:val="18"/>
              </w:rPr>
            </w:pPr>
            <w:r w:rsidRPr="003B7137">
              <w:rPr>
                <w:rFonts w:ascii="Times New Roman" w:hAnsi="Times New Roman" w:cs="Times New Roman"/>
                <w:color w:val="auto"/>
                <w:sz w:val="18"/>
                <w:szCs w:val="18"/>
              </w:rPr>
              <w:t>NIBG model</w:t>
            </w:r>
          </w:p>
        </w:tc>
      </w:tr>
      <w:tr w:rsidR="003B7137" w:rsidRPr="003B7137" w:rsidTr="003B7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vMerge w:val="restart"/>
            <w:tcBorders>
              <w:top w:val="single" w:sz="4" w:space="0" w:color="auto"/>
              <w:left w:val="nil"/>
              <w:bottom w:val="single" w:sz="4" w:space="0" w:color="auto"/>
              <w:right w:val="nil"/>
            </w:tcBorders>
            <w:hideMark/>
          </w:tcPr>
          <w:p w:rsidR="003B7137" w:rsidRPr="003B7137" w:rsidRDefault="003B7137" w:rsidP="003B7137">
            <w:pPr>
              <w:rPr>
                <w:rFonts w:ascii="Times New Roman" w:eastAsia="仿宋" w:hAnsi="Times New Roman" w:cs="Times New Roman"/>
                <w:b w:val="0"/>
                <w:bCs w:val="0"/>
                <w:color w:val="auto"/>
                <w:sz w:val="18"/>
                <w:szCs w:val="18"/>
              </w:rPr>
            </w:pPr>
            <w:proofErr w:type="spellStart"/>
            <w:r w:rsidRPr="003B7137">
              <w:rPr>
                <w:rFonts w:ascii="Times New Roman" w:eastAsia="仿宋" w:hAnsi="Times New Roman" w:cs="Times New Roman"/>
                <w:color w:val="auto"/>
                <w:sz w:val="18"/>
                <w:szCs w:val="18"/>
              </w:rPr>
              <w:t>AdaBoost</w:t>
            </w:r>
            <w:proofErr w:type="spellEnd"/>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Training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0.95 (0.92, 0.99</w:t>
            </w:r>
            <w:r w:rsidRPr="003B7137">
              <w:rPr>
                <w:rFonts w:ascii="Times New Roman" w:hAnsi="Times New Roman" w:cs="Times New Roman" w:hint="eastAsia"/>
                <w:color w:val="auto"/>
                <w:sz w:val="18"/>
                <w:szCs w:val="18"/>
              </w:rPr>
              <w:t>）</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91.4 (86.6, 96.1</w:t>
            </w:r>
            <w:r w:rsidRPr="003B7137">
              <w:rPr>
                <w:rFonts w:ascii="Times New Roman" w:hAnsi="Times New Roman" w:cs="Times New Roman" w:hint="eastAsia"/>
                <w:color w:val="auto"/>
                <w:sz w:val="18"/>
                <w:szCs w:val="18"/>
              </w:rPr>
              <w:t>）</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81.5 (74.9, 88.0</w:t>
            </w:r>
            <w:r w:rsidRPr="003B7137">
              <w:rPr>
                <w:rFonts w:ascii="Times New Roman" w:hAnsi="Times New Roman" w:cs="Times New Roman" w:hint="eastAsia"/>
                <w:color w:val="auto"/>
                <w:sz w:val="18"/>
                <w:szCs w:val="18"/>
              </w:rPr>
              <w:t>）</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88.1 (82.6, 93.6)</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86.3 (80.5, 92.1</w:t>
            </w:r>
            <w:r w:rsidRPr="003B7137">
              <w:rPr>
                <w:rFonts w:ascii="Times New Roman" w:hAnsi="Times New Roman" w:cs="Times New Roman" w:hint="eastAsia"/>
                <w:color w:val="auto"/>
                <w:sz w:val="18"/>
                <w:szCs w:val="18"/>
              </w:rPr>
              <w:t>）</w:t>
            </w:r>
          </w:p>
        </w:tc>
        <w:tc>
          <w:tcPr>
            <w:tcW w:w="325"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0.87</w:t>
            </w:r>
          </w:p>
        </w:tc>
      </w:tr>
      <w:tr w:rsidR="003B7137" w:rsidRPr="003B7137" w:rsidTr="003B713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3B7137" w:rsidRPr="003B7137" w:rsidRDefault="003B7137" w:rsidP="003B7137">
            <w:pPr>
              <w:widowControl/>
              <w:jc w:val="left"/>
              <w:rPr>
                <w:rFonts w:ascii="Times New Roman" w:eastAsia="仿宋" w:hAnsi="Times New Roman" w:cs="Times New Roman"/>
                <w:color w:val="auto"/>
                <w:sz w:val="18"/>
                <w:szCs w:val="18"/>
              </w:rPr>
            </w:pP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Testing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0.88 (0.80, 0.96)</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86.1 (77.2, 95.0</w:t>
            </w:r>
            <w:r w:rsidRPr="003B7137">
              <w:rPr>
                <w:rFonts w:ascii="Times New Roman" w:hAnsi="Times New Roman" w:cs="Times New Roman" w:hint="eastAsia"/>
                <w:color w:val="auto"/>
                <w:sz w:val="18"/>
                <w:szCs w:val="18"/>
              </w:rPr>
              <w:t>）</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81.8 (71.9, 91.7</w:t>
            </w:r>
            <w:r w:rsidRPr="003B7137">
              <w:rPr>
                <w:rFonts w:ascii="Times New Roman" w:hAnsi="Times New Roman" w:cs="Times New Roman" w:hint="eastAsia"/>
                <w:color w:val="auto"/>
                <w:sz w:val="18"/>
                <w:szCs w:val="18"/>
              </w:rPr>
              <w:t>）</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88.6 (80.4, 96.8</w:t>
            </w:r>
            <w:r w:rsidRPr="003B7137">
              <w:rPr>
                <w:rFonts w:ascii="Times New Roman" w:hAnsi="Times New Roman" w:cs="Times New Roman" w:hint="eastAsia"/>
                <w:color w:val="auto"/>
                <w:sz w:val="18"/>
                <w:szCs w:val="18"/>
              </w:rPr>
              <w:t>）</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78.3 (67.6, 88.9</w:t>
            </w:r>
            <w:r w:rsidRPr="003B7137">
              <w:rPr>
                <w:rFonts w:ascii="Times New Roman" w:hAnsi="Times New Roman" w:cs="Times New Roman" w:hint="eastAsia"/>
                <w:color w:val="auto"/>
                <w:sz w:val="18"/>
                <w:szCs w:val="18"/>
              </w:rPr>
              <w:t>）</w:t>
            </w:r>
          </w:p>
        </w:tc>
        <w:tc>
          <w:tcPr>
            <w:tcW w:w="325"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0.85</w:t>
            </w:r>
          </w:p>
        </w:tc>
      </w:tr>
      <w:tr w:rsidR="003B7137" w:rsidRPr="003B7137" w:rsidTr="003B7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vMerge w:val="restart"/>
            <w:tcBorders>
              <w:top w:val="single" w:sz="4" w:space="0" w:color="auto"/>
              <w:left w:val="nil"/>
              <w:bottom w:val="single" w:sz="4" w:space="0" w:color="auto"/>
              <w:right w:val="nil"/>
            </w:tcBorders>
            <w:hideMark/>
          </w:tcPr>
          <w:p w:rsidR="003B7137" w:rsidRPr="003B7137" w:rsidRDefault="003B7137" w:rsidP="003B7137">
            <w:pPr>
              <w:rPr>
                <w:rFonts w:ascii="Times New Roman" w:hAnsi="Times New Roman" w:cs="Times New Roman"/>
                <w:b w:val="0"/>
                <w:bCs w:val="0"/>
                <w:color w:val="auto"/>
                <w:sz w:val="18"/>
                <w:szCs w:val="18"/>
              </w:rPr>
            </w:pPr>
            <w:r w:rsidRPr="003B7137">
              <w:rPr>
                <w:rFonts w:ascii="Times New Roman" w:hAnsi="Times New Roman" w:cs="Times New Roman"/>
                <w:color w:val="auto"/>
                <w:sz w:val="18"/>
                <w:szCs w:val="18"/>
              </w:rPr>
              <w:t>GBDT</w:t>
            </w: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Training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0.99 (0.97, 1.00)</w:t>
            </w:r>
            <w:r w:rsidRPr="003B7137">
              <w:rPr>
                <w:rFonts w:ascii="Times New Roman" w:hAnsi="Times New Roman" w:cs="Times New Roman"/>
                <w:color w:val="auto"/>
                <w:sz w:val="18"/>
                <w:szCs w:val="18"/>
                <w:vertAlign w:val="superscript"/>
              </w:rPr>
              <w:t xml:space="preserve"> a</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97.5 (94.9, 100.0)</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88.9 (83.6, 94.2)</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92.9 (88.6, 97.3)</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96.0 (92.7, 99.3)</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0.94</w:t>
            </w:r>
          </w:p>
        </w:tc>
      </w:tr>
      <w:tr w:rsidR="003B7137" w:rsidRPr="003B7137" w:rsidTr="003B713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3B7137" w:rsidRPr="003B7137" w:rsidRDefault="003B7137" w:rsidP="003B7137">
            <w:pPr>
              <w:widowControl/>
              <w:jc w:val="left"/>
              <w:rPr>
                <w:rFonts w:ascii="Times New Roman" w:hAnsi="Times New Roman" w:cs="Times New Roman"/>
                <w:color w:val="auto"/>
                <w:sz w:val="18"/>
                <w:szCs w:val="18"/>
              </w:rPr>
            </w:pP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Testing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0.83 (0.74, 0.93)</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88.9 (80.8, 97.0)</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72.7 (61.3, 84.2)</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84.2 (74.8, 93.6)</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80.0 (69.7, 90.3)</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0.83</w:t>
            </w:r>
          </w:p>
        </w:tc>
      </w:tr>
      <w:tr w:rsidR="003B7137" w:rsidRPr="003B7137" w:rsidTr="003B7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vMerge w:val="restart"/>
            <w:tcBorders>
              <w:top w:val="single" w:sz="4" w:space="0" w:color="auto"/>
              <w:left w:val="nil"/>
              <w:bottom w:val="single" w:sz="4" w:space="0" w:color="auto"/>
              <w:right w:val="nil"/>
            </w:tcBorders>
            <w:hideMark/>
          </w:tcPr>
          <w:p w:rsidR="003B7137" w:rsidRPr="003B7137" w:rsidRDefault="003B7137" w:rsidP="003B7137">
            <w:pPr>
              <w:rPr>
                <w:rFonts w:ascii="Times New Roman" w:hAnsi="Times New Roman" w:cs="Times New Roman"/>
                <w:b w:val="0"/>
                <w:bCs w:val="0"/>
                <w:color w:val="auto"/>
                <w:sz w:val="18"/>
                <w:szCs w:val="18"/>
              </w:rPr>
            </w:pPr>
            <w:r w:rsidRPr="003B7137">
              <w:rPr>
                <w:rFonts w:ascii="Times New Roman" w:hAnsi="Times New Roman" w:cs="Times New Roman"/>
                <w:color w:val="auto"/>
                <w:sz w:val="18"/>
                <w:szCs w:val="18"/>
              </w:rPr>
              <w:t>LR</w:t>
            </w: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Training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0.87 (0.82, 0.93)</w:t>
            </w:r>
            <w:r w:rsidRPr="003B7137">
              <w:rPr>
                <w:rFonts w:ascii="Times New Roman" w:hAnsi="Times New Roman" w:cs="Times New Roman"/>
                <w:color w:val="auto"/>
                <w:sz w:val="18"/>
                <w:szCs w:val="18"/>
                <w:vertAlign w:val="superscript"/>
              </w:rPr>
              <w:t xml:space="preserve"> </w:t>
            </w:r>
            <w:proofErr w:type="spellStart"/>
            <w:r w:rsidRPr="003B7137">
              <w:rPr>
                <w:rFonts w:ascii="Times New Roman" w:hAnsi="Times New Roman" w:cs="Times New Roman"/>
                <w:color w:val="auto"/>
                <w:sz w:val="18"/>
                <w:szCs w:val="18"/>
                <w:vertAlign w:val="superscript"/>
              </w:rPr>
              <w:t>ab</w:t>
            </w:r>
            <w:proofErr w:type="spellEnd"/>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75.3 (68.0, 82.6)</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83.3 (77.0, 89.6)</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87.1 (81.5, 92.8)</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69.2 (61.4, 77.0)</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0.79</w:t>
            </w:r>
          </w:p>
        </w:tc>
      </w:tr>
      <w:tr w:rsidR="003B7137" w:rsidRPr="003B7137" w:rsidTr="003B713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3B7137" w:rsidRPr="003B7137" w:rsidRDefault="003B7137" w:rsidP="003B7137">
            <w:pPr>
              <w:widowControl/>
              <w:jc w:val="left"/>
              <w:rPr>
                <w:rFonts w:ascii="Times New Roman" w:hAnsi="Times New Roman" w:cs="Times New Roman"/>
                <w:color w:val="auto"/>
                <w:sz w:val="18"/>
                <w:szCs w:val="18"/>
              </w:rPr>
            </w:pP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Testing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0.90 (0.82, 0.98)</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83.3 (73.7, 92.9)</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86.4 (77.5, 95.2)</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90.9 (83.5, 98.3)</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76.0 (65.0, 87.0)</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0.85</w:t>
            </w:r>
          </w:p>
        </w:tc>
      </w:tr>
      <w:tr w:rsidR="003B7137" w:rsidRPr="003B7137" w:rsidTr="003B7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vMerge w:val="restart"/>
            <w:tcBorders>
              <w:top w:val="single" w:sz="4" w:space="0" w:color="auto"/>
              <w:left w:val="nil"/>
              <w:bottom w:val="single" w:sz="4" w:space="0" w:color="auto"/>
              <w:right w:val="nil"/>
            </w:tcBorders>
            <w:hideMark/>
          </w:tcPr>
          <w:p w:rsidR="003B7137" w:rsidRPr="003B7137" w:rsidRDefault="003B7137" w:rsidP="003B7137">
            <w:pPr>
              <w:rPr>
                <w:rFonts w:ascii="Times New Roman" w:hAnsi="Times New Roman" w:cs="Times New Roman"/>
                <w:b w:val="0"/>
                <w:bCs w:val="0"/>
                <w:color w:val="auto"/>
                <w:sz w:val="18"/>
                <w:szCs w:val="18"/>
              </w:rPr>
            </w:pPr>
            <w:r w:rsidRPr="003B7137">
              <w:rPr>
                <w:rFonts w:ascii="Times New Roman" w:hAnsi="Times New Roman" w:cs="Times New Roman"/>
                <w:color w:val="auto"/>
                <w:sz w:val="18"/>
                <w:szCs w:val="18"/>
              </w:rPr>
              <w:t>SVM</w:t>
            </w: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Training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 xml:space="preserve">0.85 (0.79, 0.91) </w:t>
            </w:r>
            <w:proofErr w:type="spellStart"/>
            <w:r w:rsidRPr="003B7137">
              <w:rPr>
                <w:rFonts w:ascii="Times New Roman" w:hAnsi="Times New Roman" w:cs="Times New Roman"/>
                <w:color w:val="auto"/>
                <w:sz w:val="18"/>
                <w:szCs w:val="18"/>
                <w:vertAlign w:val="superscript"/>
              </w:rPr>
              <w:t>ab</w:t>
            </w:r>
            <w:proofErr w:type="spellEnd"/>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82.7 (76.3, 89.1</w:t>
            </w:r>
            <w:r w:rsidRPr="003B7137">
              <w:rPr>
                <w:rFonts w:ascii="Times New Roman" w:hAnsi="Times New Roman" w:cs="Times New Roman" w:hint="eastAsia"/>
                <w:color w:val="auto"/>
                <w:sz w:val="18"/>
                <w:szCs w:val="18"/>
              </w:rPr>
              <w:t>）</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72.2 (64.7, 79.8</w:t>
            </w:r>
            <w:r w:rsidRPr="003B7137">
              <w:rPr>
                <w:rFonts w:ascii="Times New Roman" w:hAnsi="Times New Roman" w:cs="Times New Roman" w:hint="eastAsia"/>
                <w:color w:val="auto"/>
                <w:sz w:val="18"/>
                <w:szCs w:val="18"/>
              </w:rPr>
              <w:t>）</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81.7 (75.2, 88.2</w:t>
            </w:r>
            <w:r w:rsidRPr="003B7137">
              <w:rPr>
                <w:rFonts w:ascii="Times New Roman" w:hAnsi="Times New Roman" w:cs="Times New Roman" w:hint="eastAsia"/>
                <w:color w:val="auto"/>
                <w:sz w:val="18"/>
                <w:szCs w:val="18"/>
              </w:rPr>
              <w:t>）</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73.6 (66.1, 81.0)</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0.78</w:t>
            </w:r>
          </w:p>
        </w:tc>
      </w:tr>
      <w:tr w:rsidR="003B7137" w:rsidRPr="003B7137" w:rsidTr="003B713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rsidR="003B7137" w:rsidRPr="003B7137" w:rsidRDefault="003B7137" w:rsidP="003B7137">
            <w:pPr>
              <w:widowControl/>
              <w:jc w:val="left"/>
              <w:rPr>
                <w:rFonts w:ascii="Times New Roman" w:hAnsi="Times New Roman" w:cs="Times New Roman"/>
                <w:color w:val="auto"/>
                <w:sz w:val="18"/>
                <w:szCs w:val="18"/>
              </w:rPr>
            </w:pPr>
          </w:p>
        </w:tc>
        <w:tc>
          <w:tcPr>
            <w:tcW w:w="59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color w:val="auto"/>
                <w:sz w:val="18"/>
                <w:szCs w:val="18"/>
              </w:rPr>
            </w:pPr>
            <w:r w:rsidRPr="003B7137">
              <w:rPr>
                <w:rFonts w:ascii="Times New Roman" w:eastAsia="仿宋" w:hAnsi="Times New Roman" w:cs="Times New Roman"/>
                <w:color w:val="auto"/>
                <w:sz w:val="18"/>
                <w:szCs w:val="18"/>
              </w:rPr>
              <w:t>Testing dataset</w:t>
            </w:r>
          </w:p>
        </w:tc>
        <w:tc>
          <w:tcPr>
            <w:tcW w:w="591"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 xml:space="preserve">0.82 (0.72, 0.92) </w:t>
            </w:r>
            <w:r w:rsidRPr="003B7137">
              <w:rPr>
                <w:rFonts w:ascii="Times New Roman" w:hAnsi="Times New Roman" w:cs="Times New Roman"/>
                <w:color w:val="auto"/>
                <w:sz w:val="18"/>
                <w:szCs w:val="18"/>
                <w:vertAlign w:val="superscript"/>
              </w:rPr>
              <w:t>a</w:t>
            </w:r>
          </w:p>
        </w:tc>
        <w:tc>
          <w:tcPr>
            <w:tcW w:w="757" w:type="pct"/>
            <w:tcBorders>
              <w:top w:val="single" w:sz="4" w:space="0" w:color="auto"/>
              <w:left w:val="nil"/>
              <w:bottom w:val="single" w:sz="4" w:space="0" w:color="auto"/>
              <w:right w:val="nil"/>
            </w:tcBorders>
            <w:hideMark/>
          </w:tcPr>
          <w:p w:rsidR="003B7137" w:rsidRPr="003B7137" w:rsidRDefault="003B7137" w:rsidP="003B7137">
            <w:pPr>
              <w:widowContro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75.0 (63.9, 86.1</w:t>
            </w:r>
            <w:r w:rsidRPr="003B7137">
              <w:rPr>
                <w:rFonts w:ascii="Times New Roman" w:hAnsi="Times New Roman" w:cs="Times New Roman" w:hint="eastAsia"/>
                <w:color w:val="auto"/>
                <w:sz w:val="18"/>
                <w:szCs w:val="18"/>
              </w:rPr>
              <w:t>）</w:t>
            </w:r>
          </w:p>
        </w:tc>
        <w:tc>
          <w:tcPr>
            <w:tcW w:w="757"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81.8 (71.9, 91.7</w:t>
            </w:r>
            <w:r w:rsidRPr="003B7137">
              <w:rPr>
                <w:rFonts w:ascii="Times New Roman" w:hAnsi="Times New Roman" w:cs="Times New Roman" w:hint="eastAsia"/>
                <w:color w:val="auto"/>
                <w:sz w:val="18"/>
                <w:szCs w:val="18"/>
              </w:rPr>
              <w:t>）</w:t>
            </w:r>
          </w:p>
        </w:tc>
        <w:tc>
          <w:tcPr>
            <w:tcW w:w="799"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87.1 (78.5, 95.7</w:t>
            </w:r>
            <w:r w:rsidRPr="003B7137">
              <w:rPr>
                <w:rFonts w:ascii="Times New Roman" w:hAnsi="Times New Roman" w:cs="Times New Roman" w:hint="eastAsia"/>
                <w:color w:val="auto"/>
                <w:sz w:val="18"/>
                <w:szCs w:val="18"/>
              </w:rPr>
              <w:t>）</w:t>
            </w:r>
          </w:p>
        </w:tc>
        <w:tc>
          <w:tcPr>
            <w:tcW w:w="800"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66.7 (54.5, 78.8</w:t>
            </w:r>
            <w:r w:rsidRPr="003B7137">
              <w:rPr>
                <w:rFonts w:ascii="Times New Roman" w:hAnsi="Times New Roman" w:cs="Times New Roman" w:hint="eastAsia"/>
                <w:color w:val="auto"/>
                <w:sz w:val="18"/>
                <w:szCs w:val="18"/>
              </w:rPr>
              <w:t>）</w:t>
            </w:r>
          </w:p>
        </w:tc>
        <w:tc>
          <w:tcPr>
            <w:tcW w:w="325" w:type="pct"/>
            <w:tcBorders>
              <w:top w:val="single" w:sz="4" w:space="0" w:color="auto"/>
              <w:left w:val="nil"/>
              <w:bottom w:val="single" w:sz="4" w:space="0" w:color="auto"/>
              <w:right w:val="nil"/>
            </w:tcBorders>
            <w:hideMark/>
          </w:tcPr>
          <w:p w:rsidR="003B7137" w:rsidRPr="003B7137" w:rsidRDefault="003B7137" w:rsidP="003B71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B7137">
              <w:rPr>
                <w:rFonts w:ascii="Times New Roman" w:hAnsi="Times New Roman" w:cs="Times New Roman"/>
                <w:color w:val="auto"/>
                <w:sz w:val="18"/>
                <w:szCs w:val="18"/>
              </w:rPr>
              <w:t>0.78</w:t>
            </w:r>
          </w:p>
        </w:tc>
      </w:tr>
    </w:tbl>
    <w:p w:rsidR="001C0B1F" w:rsidRPr="003B7137" w:rsidRDefault="003B7137" w:rsidP="003B7137">
      <w:pPr>
        <w:rPr>
          <w:rFonts w:ascii="Times New Roman" w:hAnsi="Times New Roman" w:cs="Times New Roman" w:hint="eastAsia"/>
          <w:bCs/>
          <w:sz w:val="18"/>
          <w:szCs w:val="18"/>
        </w:rPr>
      </w:pPr>
      <w:bookmarkStart w:id="1" w:name="_GoBack"/>
      <w:bookmarkEnd w:id="0"/>
      <w:r w:rsidRPr="003B7137">
        <w:rPr>
          <w:rFonts w:ascii="Times New Roman" w:hAnsi="Times New Roman" w:cs="Times New Roman"/>
          <w:sz w:val="18"/>
          <w:szCs w:val="18"/>
        </w:rPr>
        <w:t>Statistical quantifications were demonstrated with 95% CI, when applicable· AUROCs of models based on each algorithm were statistically compared with that of the other, for the same strategy (</w:t>
      </w:r>
      <w:proofErr w:type="gramStart"/>
      <w:r w:rsidRPr="003B7137">
        <w:rPr>
          <w:rFonts w:ascii="Times New Roman" w:hAnsi="Times New Roman" w:cs="Times New Roman"/>
          <w:sz w:val="18"/>
          <w:szCs w:val="18"/>
          <w:vertAlign w:val="superscript"/>
        </w:rPr>
        <w:t>a</w:t>
      </w:r>
      <w:r w:rsidRPr="003B7137">
        <w:rPr>
          <w:rFonts w:ascii="Times New Roman" w:hAnsi="Times New Roman" w:cs="Times New Roman"/>
          <w:sz w:val="18"/>
          <w:szCs w:val="18"/>
        </w:rPr>
        <w:t xml:space="preserve"> </w:t>
      </w:r>
      <w:r w:rsidRPr="003B7137">
        <w:rPr>
          <w:rFonts w:ascii="Times New Roman" w:hAnsi="Times New Roman" w:cs="Times New Roman"/>
          <w:iCs/>
          <w:sz w:val="18"/>
          <w:szCs w:val="18"/>
        </w:rPr>
        <w:t>vs</w:t>
      </w:r>
      <w:r w:rsidRPr="003B7137">
        <w:rPr>
          <w:rFonts w:ascii="Times New Roman" w:hAnsi="Times New Roman" w:cs="Times New Roman"/>
          <w:sz w:val="18"/>
          <w:szCs w:val="18"/>
        </w:rPr>
        <w:t>.</w:t>
      </w:r>
      <w:proofErr w:type="gramEnd"/>
      <w:r w:rsidRPr="003B7137">
        <w:rPr>
          <w:rFonts w:ascii="Times New Roman" w:hAnsi="Times New Roman" w:cs="Times New Roman"/>
          <w:sz w:val="18"/>
          <w:szCs w:val="18"/>
        </w:rPr>
        <w:t xml:space="preserve"> </w:t>
      </w:r>
      <w:proofErr w:type="spellStart"/>
      <w:r w:rsidRPr="003B7137">
        <w:rPr>
          <w:rFonts w:ascii="Times New Roman" w:hAnsi="Times New Roman" w:cs="Times New Roman"/>
          <w:sz w:val="18"/>
          <w:szCs w:val="18"/>
        </w:rPr>
        <w:t>AdaBoost</w:t>
      </w:r>
      <w:proofErr w:type="spellEnd"/>
      <w:r w:rsidRPr="003B7137">
        <w:rPr>
          <w:rFonts w:ascii="Times New Roman" w:hAnsi="Times New Roman" w:cs="Times New Roman"/>
          <w:sz w:val="18"/>
          <w:szCs w:val="18"/>
        </w:rPr>
        <w:t xml:space="preserve">, </w:t>
      </w:r>
      <w:r w:rsidRPr="003B7137">
        <w:rPr>
          <w:rFonts w:ascii="Times New Roman" w:hAnsi="Times New Roman" w:cs="Times New Roman"/>
          <w:i/>
          <w:sz w:val="18"/>
          <w:szCs w:val="18"/>
        </w:rPr>
        <w:t>p</w:t>
      </w:r>
      <w:r w:rsidRPr="003B7137">
        <w:rPr>
          <w:rFonts w:ascii="Times New Roman" w:hAnsi="Times New Roman" w:cs="Times New Roman"/>
          <w:sz w:val="18"/>
          <w:szCs w:val="18"/>
        </w:rPr>
        <w:t xml:space="preserve">&lt;0.05; </w:t>
      </w:r>
      <w:r w:rsidRPr="003B7137">
        <w:rPr>
          <w:rFonts w:ascii="Times New Roman" w:hAnsi="Times New Roman" w:cs="Times New Roman"/>
          <w:sz w:val="18"/>
          <w:szCs w:val="18"/>
          <w:vertAlign w:val="superscript"/>
        </w:rPr>
        <w:t>b</w:t>
      </w:r>
      <w:r w:rsidRPr="003B7137">
        <w:rPr>
          <w:rFonts w:ascii="Times New Roman" w:hAnsi="Times New Roman" w:cs="Times New Roman"/>
          <w:i/>
          <w:sz w:val="18"/>
          <w:szCs w:val="18"/>
        </w:rPr>
        <w:t xml:space="preserve"> </w:t>
      </w:r>
      <w:r w:rsidRPr="003B7137">
        <w:rPr>
          <w:rFonts w:ascii="Times New Roman" w:hAnsi="Times New Roman" w:cs="Times New Roman"/>
          <w:iCs/>
          <w:sz w:val="18"/>
          <w:szCs w:val="18"/>
        </w:rPr>
        <w:t>vs</w:t>
      </w:r>
      <w:r w:rsidRPr="003B7137">
        <w:rPr>
          <w:rFonts w:ascii="Times New Roman" w:hAnsi="Times New Roman" w:cs="Times New Roman"/>
          <w:i/>
          <w:sz w:val="18"/>
          <w:szCs w:val="18"/>
        </w:rPr>
        <w:t xml:space="preserve">. </w:t>
      </w:r>
      <w:r w:rsidRPr="003B7137">
        <w:rPr>
          <w:rFonts w:ascii="Times New Roman" w:hAnsi="Times New Roman" w:cs="Times New Roman"/>
          <w:sz w:val="18"/>
          <w:szCs w:val="18"/>
        </w:rPr>
        <w:t xml:space="preserve">GBDT, </w:t>
      </w:r>
      <w:r w:rsidRPr="003B7137">
        <w:rPr>
          <w:rFonts w:ascii="Times New Roman" w:hAnsi="Times New Roman" w:cs="Times New Roman"/>
          <w:i/>
          <w:sz w:val="18"/>
          <w:szCs w:val="18"/>
        </w:rPr>
        <w:t>p</w:t>
      </w:r>
      <w:r w:rsidRPr="003B7137">
        <w:rPr>
          <w:rFonts w:ascii="Times New Roman" w:hAnsi="Times New Roman" w:cs="Times New Roman"/>
          <w:sz w:val="18"/>
          <w:szCs w:val="18"/>
        </w:rPr>
        <w:t xml:space="preserve">&lt;0.05; </w:t>
      </w:r>
      <w:r w:rsidRPr="003B7137">
        <w:rPr>
          <w:rFonts w:ascii="Times New Roman" w:hAnsi="Times New Roman" w:cs="Times New Roman"/>
          <w:sz w:val="18"/>
          <w:szCs w:val="18"/>
          <w:vertAlign w:val="superscript"/>
        </w:rPr>
        <w:t xml:space="preserve">c </w:t>
      </w:r>
      <w:r w:rsidRPr="003B7137">
        <w:rPr>
          <w:rFonts w:ascii="Times New Roman" w:hAnsi="Times New Roman" w:cs="Times New Roman"/>
          <w:iCs/>
          <w:sz w:val="18"/>
          <w:szCs w:val="18"/>
        </w:rPr>
        <w:t>vs</w:t>
      </w:r>
      <w:r w:rsidRPr="003B7137">
        <w:rPr>
          <w:rFonts w:ascii="Times New Roman" w:hAnsi="Times New Roman" w:cs="Times New Roman"/>
          <w:i/>
          <w:sz w:val="18"/>
          <w:szCs w:val="18"/>
        </w:rPr>
        <w:t xml:space="preserve">. </w:t>
      </w:r>
      <w:r w:rsidRPr="003B7137">
        <w:rPr>
          <w:rFonts w:ascii="Times New Roman" w:hAnsi="Times New Roman" w:cs="Times New Roman"/>
          <w:sz w:val="18"/>
          <w:szCs w:val="18"/>
        </w:rPr>
        <w:t>LR,</w:t>
      </w:r>
      <w:r w:rsidRPr="003B7137">
        <w:rPr>
          <w:rFonts w:ascii="Times New Roman" w:hAnsi="Times New Roman" w:cs="Times New Roman"/>
          <w:i/>
          <w:sz w:val="18"/>
          <w:szCs w:val="18"/>
        </w:rPr>
        <w:t xml:space="preserve"> p</w:t>
      </w:r>
      <w:r w:rsidRPr="003B7137">
        <w:rPr>
          <w:rFonts w:ascii="Times New Roman" w:hAnsi="Times New Roman" w:cs="Times New Roman"/>
          <w:sz w:val="18"/>
          <w:szCs w:val="18"/>
        </w:rPr>
        <w:t xml:space="preserve">&lt;0.05). </w:t>
      </w:r>
      <w:proofErr w:type="gramStart"/>
      <w:r w:rsidRPr="003B7137">
        <w:rPr>
          <w:rFonts w:ascii="Times New Roman" w:hAnsi="Times New Roman" w:cs="Times New Roman"/>
          <w:sz w:val="18"/>
          <w:szCs w:val="18"/>
        </w:rPr>
        <w:t>LR, logistic regression; SVM, support vector machine.</w:t>
      </w:r>
      <w:proofErr w:type="gramEnd"/>
      <w:r w:rsidRPr="003B7137">
        <w:rPr>
          <w:rFonts w:ascii="Times New Roman" w:hAnsi="Times New Roman" w:cs="Times New Roman"/>
          <w:bCs/>
          <w:sz w:val="18"/>
          <w:szCs w:val="18"/>
        </w:rPr>
        <w:t xml:space="preserve"> Initially, we tried to apply four different ML methods to predict the cirrhotic patients’ presence of IPVD. After data preprocessing, feature selection and model construction were conducted on the training dataset by the four ML methods, respectively. Then model evaluation was constructed on the testing dataset. Our data showed that the AUCROC of the NI model by LR was 0.86 (95% CI: 0.74-0.93), which indicated a moderate ability of discrimination. Meanwhile, the sensitivity and specificity of the NI model by LR were lower than 80.0%, indicating a probable a relative low accuracy. </w:t>
      </w:r>
      <w:proofErr w:type="gramStart"/>
      <w:r w:rsidRPr="003B7137">
        <w:rPr>
          <w:rFonts w:ascii="Times New Roman" w:hAnsi="Times New Roman" w:cs="Times New Roman"/>
          <w:bCs/>
          <w:sz w:val="18"/>
          <w:szCs w:val="18"/>
        </w:rPr>
        <w:t xml:space="preserve">Though the AUCROC of NIBG by LR </w:t>
      </w:r>
      <w:r w:rsidRPr="003B7137">
        <w:rPr>
          <w:rFonts w:ascii="Times New Roman" w:hAnsi="Times New Roman" w:cs="Times New Roman"/>
          <w:bCs/>
          <w:sz w:val="18"/>
          <w:szCs w:val="18"/>
        </w:rPr>
        <w:lastRenderedPageBreak/>
        <w:t xml:space="preserve">was higher than 0.90 on the testing dataset, the AUCROC of NIBG on the training dataset was lower than that on the testing dataset, suggesting the probability of </w:t>
      </w:r>
      <w:proofErr w:type="spellStart"/>
      <w:r w:rsidRPr="003B7137">
        <w:rPr>
          <w:rFonts w:ascii="Times New Roman" w:hAnsi="Times New Roman" w:cs="Times New Roman"/>
          <w:bCs/>
          <w:sz w:val="18"/>
          <w:szCs w:val="18"/>
        </w:rPr>
        <w:t>underfitting</w:t>
      </w:r>
      <w:proofErr w:type="spellEnd"/>
      <w:r w:rsidRPr="003B7137">
        <w:rPr>
          <w:rFonts w:ascii="Times New Roman" w:hAnsi="Times New Roman" w:cs="Times New Roman"/>
          <w:bCs/>
          <w:sz w:val="18"/>
          <w:szCs w:val="18"/>
        </w:rPr>
        <w:t>.</w:t>
      </w:r>
      <w:proofErr w:type="gramEnd"/>
      <w:r w:rsidRPr="003B7137">
        <w:rPr>
          <w:rFonts w:ascii="Times New Roman" w:hAnsi="Times New Roman" w:cs="Times New Roman"/>
          <w:bCs/>
          <w:sz w:val="18"/>
          <w:szCs w:val="18"/>
        </w:rPr>
        <w:t xml:space="preserve"> Moreover, the ABG analysis results were not available for every patient. Our preliminary experiment showed that one-step model using noninvasive variables based on machine learning methods was unable to meet the requirements of preliminary screening from large amounts of patients.</w:t>
      </w:r>
      <w:bookmarkEnd w:id="1"/>
    </w:p>
    <w:sectPr w:rsidR="001C0B1F" w:rsidRPr="003B7137" w:rsidSect="003B713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37"/>
    <w:rsid w:val="001C0B1F"/>
    <w:rsid w:val="003B7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6Colorful-Accent51">
    <w:name w:val="List Table 6 Colorful - Accent 51"/>
    <w:basedOn w:val="a1"/>
    <w:uiPriority w:val="51"/>
    <w:rsid w:val="003B7137"/>
    <w:rPr>
      <w:color w:val="31849B" w:themeColor="accent5" w:themeShade="BF"/>
    </w:rPr>
    <w:tblPr>
      <w:tblStyleRowBandSize w:val="1"/>
      <w:tblStyleColBandSize w:val="1"/>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6Colorful-Accent51">
    <w:name w:val="List Table 6 Colorful - Accent 51"/>
    <w:basedOn w:val="a1"/>
    <w:uiPriority w:val="51"/>
    <w:rsid w:val="003B7137"/>
    <w:rPr>
      <w:color w:val="31849B" w:themeColor="accent5" w:themeShade="BF"/>
    </w:rPr>
    <w:tblPr>
      <w:tblStyleRowBandSize w:val="1"/>
      <w:tblStyleColBandSize w:val="1"/>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2021-04-22T14:01:00Z</dcterms:created>
  <dcterms:modified xsi:type="dcterms:W3CDTF">2021-04-22T14:02:00Z</dcterms:modified>
</cp:coreProperties>
</file>