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8F" w:rsidRPr="00BF5A8F" w:rsidRDefault="00BF5A8F" w:rsidP="00BF5A8F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F5A8F">
        <w:rPr>
          <w:rFonts w:ascii="Times New Roman" w:hAnsi="Times New Roman" w:cs="Times New Roman"/>
          <w:b/>
          <w:sz w:val="20"/>
          <w:szCs w:val="20"/>
        </w:rPr>
        <w:t>Supplementary Table 4.</w:t>
      </w:r>
      <w:proofErr w:type="gramEnd"/>
      <w:r w:rsidRPr="00BF5A8F">
        <w:rPr>
          <w:rFonts w:ascii="Times New Roman" w:hAnsi="Times New Roman" w:cs="Times New Roman"/>
          <w:b/>
          <w:sz w:val="20"/>
          <w:szCs w:val="20"/>
        </w:rPr>
        <w:t xml:space="preserve"> Summary of researches for IPV</w:t>
      </w:r>
      <w:r w:rsidRPr="00BF5A8F">
        <w:rPr>
          <w:rFonts w:ascii="Times New Roman" w:hAnsi="Times New Roman" w:cs="Times New Roman"/>
          <w:b/>
          <w:sz w:val="20"/>
          <w:szCs w:val="20"/>
        </w:rPr>
        <w:t>D in patient with liver disease</w:t>
      </w:r>
    </w:p>
    <w:tbl>
      <w:tblPr>
        <w:tblStyle w:val="ListTable6Colorful-Accent11"/>
        <w:tblW w:w="5038" w:type="pct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64"/>
        <w:gridCol w:w="2534"/>
        <w:gridCol w:w="1417"/>
        <w:gridCol w:w="2125"/>
        <w:gridCol w:w="3830"/>
        <w:gridCol w:w="1274"/>
      </w:tblGrid>
      <w:tr w:rsidR="00BF5A8F" w:rsidRPr="00BF5A8F" w:rsidTr="00BF5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Variable(s)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opulation</w:t>
            </w:r>
          </w:p>
        </w:tc>
      </w:tr>
      <w:tr w:rsidR="00BF5A8F" w:rsidRPr="00BF5A8F" w:rsidTr="00BF5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BF5A8F">
              <w:rPr>
                <w:rFonts w:ascii="Times New Roman" w:hAnsi="Times New Roman" w:cs="Times New Roman"/>
                <w:b w:val="0"/>
                <w:sz w:val="20"/>
                <w:szCs w:val="20"/>
              </w:rPr>
              <w:t>Acta</w:t>
            </w:r>
            <w:proofErr w:type="spellEnd"/>
            <w:r w:rsidRPr="00BF5A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gastro-</w:t>
            </w:r>
            <w:r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 xml:space="preserve"> </w:t>
            </w:r>
            <w:proofErr w:type="spellStart"/>
            <w:r w:rsidRPr="00BF5A8F">
              <w:rPr>
                <w:rFonts w:ascii="Times New Roman" w:hAnsi="Times New Roman" w:cs="Times New Roman"/>
                <w:b w:val="0"/>
                <w:sz w:val="20"/>
                <w:szCs w:val="20"/>
              </w:rPr>
              <w:t>enterologica</w:t>
            </w:r>
            <w:proofErr w:type="spellEnd"/>
            <w:r w:rsidRPr="00BF5A8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belgica.2013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Andrei </w:t>
            </w:r>
            <w:proofErr w:type="spell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Voiosu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Colentina</w:t>
            </w:r>
            <w:proofErr w:type="spell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Clinical Hospital, Bucharest, Romania.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IPVD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 w:rsidRPr="00BF5A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(supine)minus SpO</w:t>
            </w:r>
            <w:r w:rsidRPr="00BF5A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(standing) &gt;2%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The AUCROC was 0.82 (0.68-0.97). The sensitivity/specificity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60%/94%.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Cirrhotic patients</w:t>
            </w:r>
          </w:p>
        </w:tc>
      </w:tr>
      <w:tr w:rsidR="00BF5A8F" w:rsidRPr="00BF5A8F" w:rsidTr="00BF5A8F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b w:val="0"/>
                <w:sz w:val="20"/>
                <w:szCs w:val="20"/>
              </w:rPr>
              <w:t>Gut.2002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P Schenk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Department of Internal Medicine IV, Intensive Care Unit, University of Vienna.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IPVD with hypoxemia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PaO</w:t>
            </w:r>
            <w:r w:rsidRPr="00BF5A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&lt;age related</w:t>
            </w:r>
          </w:p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threshold value mm Hg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The PPV/NPV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94%/78%.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Cirrhotic patients</w:t>
            </w:r>
          </w:p>
        </w:tc>
      </w:tr>
      <w:tr w:rsidR="00BF5A8F" w:rsidRPr="00BF5A8F" w:rsidTr="00BF5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AaDO</w:t>
            </w:r>
            <w:r w:rsidRPr="00BF5A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&gt;age related</w:t>
            </w:r>
          </w:p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threshold value mm Hg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The PPV/NPV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53%/87%.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8F" w:rsidRPr="00BF5A8F" w:rsidTr="00BF5A8F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b w:val="0"/>
                <w:sz w:val="20"/>
                <w:szCs w:val="20"/>
              </w:rPr>
              <w:t>World J Gastroenterol.2006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Amir </w:t>
            </w:r>
            <w:proofErr w:type="spell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Houshang</w:t>
            </w:r>
            <w:proofErr w:type="spell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Mohammad </w:t>
            </w:r>
            <w:proofErr w:type="spell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Alizadeh</w:t>
            </w:r>
            <w:proofErr w:type="spellEnd"/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Research Center for Gastroenterology and Liver Disease, </w:t>
            </w:r>
            <w:proofErr w:type="spell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Shaheed</w:t>
            </w:r>
            <w:proofErr w:type="spellEnd"/>
          </w:p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Beheshti</w:t>
            </w:r>
            <w:proofErr w:type="spell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University of Medical Sciences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IPVD with hypoxemia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Cyanosis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The sensitivity/specificity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90%/80%. The PPV/NPV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60%/97%.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Cirrhotic patients</w:t>
            </w:r>
          </w:p>
        </w:tc>
      </w:tr>
      <w:tr w:rsidR="00BF5A8F" w:rsidRPr="00BF5A8F" w:rsidTr="00BF5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Clubbing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The sensitivity/specificity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80%/91%. The PPV/NPV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75%/95%.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8F" w:rsidRPr="00BF5A8F" w:rsidTr="00BF5A8F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The sensitivity/specificity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100%/75%. The PPV/NPV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50%/100%.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8F" w:rsidRPr="00BF5A8F" w:rsidTr="00BF5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Palmar erythema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The sensitivity/specificity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80%/71%. The PPV/NPV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38%/94%.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8F" w:rsidRPr="00BF5A8F" w:rsidTr="00BF5A8F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Spider </w:t>
            </w:r>
            <w:proofErr w:type="spell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angioma</w:t>
            </w:r>
            <w:proofErr w:type="spellEnd"/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The sensitivity/specificity were 80%/70·5%. The PPV/NPV </w:t>
            </w:r>
            <w:proofErr w:type="gramStart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were</w:t>
            </w:r>
            <w:proofErr w:type="gramEnd"/>
            <w:r w:rsidRPr="00BF5A8F">
              <w:rPr>
                <w:rFonts w:ascii="Times New Roman" w:hAnsi="Times New Roman" w:cs="Times New Roman"/>
                <w:sz w:val="20"/>
                <w:szCs w:val="20"/>
              </w:rPr>
              <w:t xml:space="preserve"> 38%/94%.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8F" w:rsidRPr="00BF5A8F" w:rsidTr="00BF5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b w:val="0"/>
                <w:sz w:val="20"/>
                <w:szCs w:val="20"/>
              </w:rPr>
              <w:t>Hepatology.2019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Kimberly A. Forde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Center for Clinical Epidemiology and Biostatistics Perelman School of Medicine University of Pennsylvania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IPVD with hypoxemia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r w:rsidRPr="00BF5A8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＜</w:t>
            </w: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The AUCROC was 0.59 (0.51-0.66). Then sensitivity and specificity were 28% and 94%.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A8F" w:rsidRPr="00BF5A8F" w:rsidRDefault="00BF5A8F" w:rsidP="00BF5A8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A8F">
              <w:rPr>
                <w:rFonts w:ascii="Times New Roman" w:hAnsi="Times New Roman" w:cs="Times New Roman"/>
                <w:sz w:val="20"/>
                <w:szCs w:val="20"/>
              </w:rPr>
              <w:t>LT candidates with POH</w:t>
            </w:r>
          </w:p>
        </w:tc>
      </w:tr>
    </w:tbl>
    <w:p w:rsidR="00A56B87" w:rsidRPr="00BF5A8F" w:rsidRDefault="00BF5A8F" w:rsidP="00BF5A8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F5A8F">
        <w:rPr>
          <w:rFonts w:ascii="Times New Roman" w:hAnsi="Times New Roman" w:cs="Times New Roman"/>
          <w:sz w:val="20"/>
          <w:szCs w:val="20"/>
        </w:rPr>
        <w:lastRenderedPageBreak/>
        <w:t>AaDO</w:t>
      </w:r>
      <w:r w:rsidRPr="00BF5A8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F5A8F">
        <w:rPr>
          <w:rFonts w:ascii="Times New Roman" w:hAnsi="Times New Roman" w:cs="Times New Roman"/>
          <w:sz w:val="20"/>
          <w:szCs w:val="20"/>
        </w:rPr>
        <w:t>, alveolar-arterial gradient; LT, liver transplantation; POH, portal hypertension.</w:t>
      </w:r>
      <w:proofErr w:type="gramEnd"/>
      <w:r w:rsidRPr="00BF5A8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A56B87" w:rsidRPr="00BF5A8F" w:rsidSect="00BF5A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8F"/>
    <w:rsid w:val="00A56B87"/>
    <w:rsid w:val="00B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6Colorful-Accent11">
    <w:name w:val="List Table 6 Colorful - Accent 11"/>
    <w:basedOn w:val="a1"/>
    <w:uiPriority w:val="51"/>
    <w:rsid w:val="00BF5A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6Colorful-Accent11">
    <w:name w:val="List Table 6 Colorful - Accent 11"/>
    <w:basedOn w:val="a1"/>
    <w:uiPriority w:val="51"/>
    <w:rsid w:val="00BF5A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2021-04-22T13:55:00Z</dcterms:created>
  <dcterms:modified xsi:type="dcterms:W3CDTF">2021-04-22T14:00:00Z</dcterms:modified>
</cp:coreProperties>
</file>