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8B" w:rsidRPr="00015493" w:rsidRDefault="00CB078B" w:rsidP="00CB0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Supp. Table 3. </w:t>
      </w:r>
      <w:r w:rsidRPr="00015493">
        <w:rPr>
          <w:rFonts w:ascii="Times New Roman" w:hAnsi="Times New Roman" w:cs="Times New Roman"/>
          <w:sz w:val="24"/>
          <w:szCs w:val="24"/>
          <w:shd w:val="clear" w:color="auto" w:fill="FFFFFF"/>
        </w:rPr>
        <w:t>The median of the expression cohorts of the hub genes determines the overall survival risk for NSCLC patients.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1"/>
        <w:gridCol w:w="2551"/>
        <w:gridCol w:w="2962"/>
      </w:tblGrid>
      <w:tr w:rsidR="00CB078B" w:rsidRPr="00015493" w:rsidTr="008C165E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 Genes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(High Exp) in Months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(Low Exp) in Months</w:t>
            </w:r>
          </w:p>
        </w:tc>
      </w:tr>
      <w:tr w:rsidR="00CB078B" w:rsidRPr="00015493" w:rsidTr="008C165E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CKS1B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95.07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110.27</w:t>
            </w:r>
          </w:p>
        </w:tc>
      </w:tr>
      <w:tr w:rsidR="00CB078B" w:rsidRPr="00015493" w:rsidTr="008C165E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CDC25C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125.77</w:t>
            </w:r>
          </w:p>
        </w:tc>
      </w:tr>
      <w:tr w:rsidR="00CB078B" w:rsidRPr="00015493" w:rsidTr="008C165E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IRF1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88.7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117.33</w:t>
            </w:r>
          </w:p>
        </w:tc>
      </w:tr>
      <w:tr w:rsidR="00CB078B" w:rsidRPr="00015493" w:rsidTr="008C165E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IFNB1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B078B" w:rsidRPr="00015493" w:rsidTr="008C165E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CDT1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B078B" w:rsidRPr="00015493" w:rsidRDefault="00CB078B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133.57</w:t>
            </w:r>
          </w:p>
        </w:tc>
      </w:tr>
    </w:tbl>
    <w:p w:rsidR="00CB078B" w:rsidRPr="00015493" w:rsidRDefault="00CB078B" w:rsidP="00CB0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6FB5" w:rsidRDefault="00BB6FB5"/>
    <w:sectPr w:rsidR="00BB6F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B078B"/>
    <w:rsid w:val="00BB6FB5"/>
    <w:rsid w:val="00CB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2023-05-28T11:16:00Z</dcterms:created>
  <dcterms:modified xsi:type="dcterms:W3CDTF">2023-05-28T11:16:00Z</dcterms:modified>
</cp:coreProperties>
</file>