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AC" w:rsidRPr="00015493" w:rsidRDefault="00BC6DAC" w:rsidP="00BC6DAC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5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Supp. Table 2 </w:t>
      </w:r>
      <w:r w:rsidRPr="00015493">
        <w:rPr>
          <w:rFonts w:ascii="Times New Roman" w:hAnsi="Times New Roman" w:cs="Times New Roman"/>
          <w:sz w:val="24"/>
          <w:szCs w:val="24"/>
          <w:shd w:val="clear" w:color="auto" w:fill="FFFFFF"/>
        </w:rPr>
        <w:t>The significant results obtained in the study are summarized.</w:t>
      </w:r>
    </w:p>
    <w:tbl>
      <w:tblPr>
        <w:tblStyle w:val="PlainTable2"/>
        <w:tblW w:w="0" w:type="auto"/>
        <w:tblLook w:val="04A0"/>
      </w:tblPr>
      <w:tblGrid>
        <w:gridCol w:w="3327"/>
        <w:gridCol w:w="5529"/>
      </w:tblGrid>
      <w:tr w:rsidR="00BC6DAC" w:rsidRPr="00015493" w:rsidTr="008C165E">
        <w:trPr>
          <w:cnfStyle w:val="100000000000"/>
        </w:trPr>
        <w:tc>
          <w:tcPr>
            <w:cnfStyle w:val="001000000000"/>
            <w:tcW w:w="3544" w:type="dxa"/>
            <w:shd w:val="clear" w:color="auto" w:fill="D9D9D9" w:themeFill="background1" w:themeFillShade="D9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Analysis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BC6DAC" w:rsidRPr="00015493" w:rsidRDefault="00BC6DAC" w:rsidP="008C165E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Results obtained</w:t>
            </w:r>
          </w:p>
        </w:tc>
      </w:tr>
      <w:tr w:rsidR="00BC6DAC" w:rsidRPr="00015493" w:rsidTr="008C165E">
        <w:trPr>
          <w:cnfStyle w:val="000000100000"/>
        </w:trPr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Differential Gene Expression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1085 DEGs were obtained.</w:t>
            </w:r>
          </w:p>
          <w:p w:rsidR="00BC6DAC" w:rsidRPr="00015493" w:rsidRDefault="00BC6DAC" w:rsidP="00BC6D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589 DE mRNAs were identified.</w:t>
            </w:r>
          </w:p>
          <w:p w:rsidR="00BC6DAC" w:rsidRPr="00015493" w:rsidRDefault="00BC6DAC" w:rsidP="00BC6D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496 DE lncRNAs were identified</w:t>
            </w:r>
          </w:p>
        </w:tc>
      </w:tr>
      <w:tr w:rsidR="00BC6DAC" w:rsidRPr="00015493" w:rsidTr="008C165E"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PPI Network construction and Hub Gene Identification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PPI network consisted of 589 nodes and 1036 edges with a clustering coefficient of 0.23.</w:t>
            </w:r>
          </w:p>
          <w:p w:rsidR="00BC6DAC" w:rsidRPr="00015493" w:rsidRDefault="00BC6DAC" w:rsidP="00BC6D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 clusters were identified from the network, and a significant one with 20 nodes.</w:t>
            </w:r>
          </w:p>
          <w:p w:rsidR="00BC6DAC" w:rsidRPr="00015493" w:rsidRDefault="00BC6DAC" w:rsidP="00BC6D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top 5 hub genes were revealed (CKS1B, CDC25C, IRF1, IFNB1, CDT1).</w:t>
            </w:r>
          </w:p>
        </w:tc>
      </w:tr>
      <w:tr w:rsidR="00BC6DAC" w:rsidRPr="00015493" w:rsidTr="008C165E">
        <w:trPr>
          <w:cnfStyle w:val="000000100000"/>
        </w:trPr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GO and Biological Processes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hub genes were enriched to the dysregulation of cancer immune response, cell cycle, and post-regulation of the cell cycle.</w:t>
            </w:r>
          </w:p>
        </w:tc>
      </w:tr>
      <w:tr w:rsidR="00BC6DAC" w:rsidRPr="00015493" w:rsidTr="008C165E"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Clinical Significance of the Hub Genes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CKS1B, CDC25C, IRF1, and CDT1 possessed HR &gt; 1.</w:t>
            </w:r>
          </w:p>
          <w:p w:rsidR="00BC6DAC" w:rsidRPr="00015493" w:rsidRDefault="00BC6DAC" w:rsidP="00BC6D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Lower median values in the expression groups revealed their expression cohort in NSCLC.</w:t>
            </w:r>
          </w:p>
        </w:tc>
      </w:tr>
      <w:tr w:rsidR="00BC6DAC" w:rsidRPr="00015493" w:rsidTr="008C165E">
        <w:trPr>
          <w:cnfStyle w:val="000000100000"/>
        </w:trPr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Co-Expression analysis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bookmarkStart w:id="0" w:name="_Hlk115097509"/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ENST00000605056</w:t>
            </w:r>
            <w:bookmarkEnd w:id="0"/>
            <w:r w:rsidRPr="00015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lncRNA was upregulated and exhibited the maximum interactions with three highly ranked hub genes (CKS1B, IRF1, and IFNB1).</w:t>
            </w:r>
          </w:p>
        </w:tc>
      </w:tr>
      <w:tr w:rsidR="00BC6DAC" w:rsidRPr="00015493" w:rsidTr="008C165E"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Molecular Docking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significant bonding interaction between the selected volatile ligands and the lncRNA was observed, primarily through non-covalent bonds.</w:t>
            </w:r>
          </w:p>
        </w:tc>
      </w:tr>
      <w:tr w:rsidR="00BC6DAC" w:rsidRPr="00015493" w:rsidTr="008C165E">
        <w:trPr>
          <w:cnfStyle w:val="000000100000"/>
        </w:trPr>
        <w:tc>
          <w:tcPr>
            <w:cnfStyle w:val="001000000000"/>
            <w:tcW w:w="3544" w:type="dxa"/>
          </w:tcPr>
          <w:p w:rsidR="00BC6DAC" w:rsidRPr="00015493" w:rsidRDefault="00BC6DAC" w:rsidP="008C165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Molecular Dynamics Simulation</w:t>
            </w:r>
          </w:p>
        </w:tc>
        <w:tc>
          <w:tcPr>
            <w:tcW w:w="5806" w:type="dxa"/>
          </w:tcPr>
          <w:p w:rsidR="00BC6DAC" w:rsidRPr="00015493" w:rsidRDefault="00BC6DAC" w:rsidP="00BC6DA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15493">
              <w:rPr>
                <w:rFonts w:ascii="Times New Roman" w:hAnsi="Times New Roman" w:cs="Times New Roman"/>
                <w:sz w:val="24"/>
                <w:szCs w:val="24"/>
              </w:rPr>
              <w:t xml:space="preserve">In contrast to the control, the complexes acquired conformational stability </w:t>
            </w:r>
            <w:r w:rsidRPr="0001549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 the 20 ns trajectory period.</w:t>
            </w:r>
          </w:p>
        </w:tc>
      </w:tr>
    </w:tbl>
    <w:p w:rsidR="00BC6DAC" w:rsidRPr="00015493" w:rsidRDefault="00BC6DAC" w:rsidP="00BC6DA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1BFC" w:rsidRDefault="00281BFC"/>
    <w:sectPr w:rsidR="00281B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A62"/>
    <w:multiLevelType w:val="hybridMultilevel"/>
    <w:tmpl w:val="56E29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2BE1"/>
    <w:multiLevelType w:val="hybridMultilevel"/>
    <w:tmpl w:val="31E47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A5878"/>
    <w:multiLevelType w:val="hybridMultilevel"/>
    <w:tmpl w:val="4DD8B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C6DAC"/>
    <w:rsid w:val="00281BFC"/>
    <w:rsid w:val="00B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C6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2023-05-28T11:16:00Z</dcterms:created>
  <dcterms:modified xsi:type="dcterms:W3CDTF">2023-05-28T11:16:00Z</dcterms:modified>
</cp:coreProperties>
</file>