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A7" w:rsidRPr="00015493" w:rsidRDefault="007769A7" w:rsidP="007769A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015493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Supp. </w:t>
      </w:r>
      <w:r w:rsidRPr="00015493">
        <w:rPr>
          <w:rFonts w:ascii="Times New Roman" w:hAnsi="Times New Roman" w:cs="Times New Roman"/>
          <w:b/>
          <w:bCs/>
          <w:sz w:val="24"/>
          <w:szCs w:val="24"/>
        </w:rPr>
        <w:t>Table 1.</w:t>
      </w:r>
      <w:r w:rsidRPr="00015493">
        <w:rPr>
          <w:rFonts w:ascii="Times New Roman" w:hAnsi="Times New Roman" w:cs="Times New Roman"/>
          <w:sz w:val="24"/>
          <w:szCs w:val="24"/>
        </w:rPr>
        <w:t xml:space="preserve"> </w:t>
      </w:r>
      <w:r w:rsidRPr="00015493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Pr="00015493">
        <w:rPr>
          <w:rFonts w:ascii="Times New Roman" w:hAnsi="Times New Roman" w:cs="Times New Roman"/>
          <w:sz w:val="24"/>
          <w:szCs w:val="24"/>
          <w:lang w:val="en-IN"/>
        </w:rPr>
        <w:t>The bioinformatics tools employed in this study and their principles and applications are listed.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78"/>
        <w:gridCol w:w="3409"/>
        <w:gridCol w:w="3685"/>
      </w:tblGrid>
      <w:tr w:rsidR="007769A7" w:rsidRPr="00015493" w:rsidTr="008C165E">
        <w:trPr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Analysis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Bioinformatics Tools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Principle and Applications</w:t>
            </w:r>
          </w:p>
        </w:tc>
      </w:tr>
      <w:tr w:rsidR="007769A7" w:rsidRPr="00015493" w:rsidTr="008C165E">
        <w:trPr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Differential Gene Expression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GEO2R-GEO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 xml:space="preserve">Compares gene expression profiles in </w:t>
            </w:r>
            <w:r w:rsidRPr="000154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Gene Expression Omnibus</w:t>
            </w: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 xml:space="preserve"> (GEO) datasets and identifies differentially expressed genes.</w:t>
            </w:r>
          </w:p>
        </w:tc>
      </w:tr>
      <w:tr w:rsidR="007769A7" w:rsidRPr="00015493" w:rsidTr="008C165E">
        <w:trPr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Network Construction and Analysis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STRING (</w:t>
            </w:r>
            <w:hyperlink r:id="rId4" w:history="1">
              <w:r w:rsidRPr="00015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https://string-db.org/</w:t>
              </w:r>
            </w:hyperlink>
            <w:r w:rsidRPr="00015493">
              <w:rPr>
                <w:rFonts w:ascii="Times New Roman" w:hAnsi="Times New Roman" w:cs="Times New Roman"/>
                <w:sz w:val="24"/>
                <w:szCs w:val="24"/>
              </w:rPr>
              <w:t xml:space="preserve">) and Cytoscape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STRING is a database for protein-protein interactions, and Cytoscape is a tool for visualizing and analyzing biological networks.</w:t>
            </w:r>
          </w:p>
        </w:tc>
      </w:tr>
      <w:tr w:rsidR="007769A7" w:rsidRPr="00015493" w:rsidTr="008C165E">
        <w:trPr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Hub Gene Identification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CytoHubba app of Cytoscape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Identifies hub nodes in biological networks, aiding in identifying key proteins or genes with critical roles in biological processes or diseases.</w:t>
            </w:r>
          </w:p>
        </w:tc>
      </w:tr>
      <w:tr w:rsidR="007769A7" w:rsidRPr="00015493" w:rsidTr="008C165E">
        <w:trPr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Functional Enrichment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ShinyGO (</w:t>
            </w:r>
            <w:hyperlink r:id="rId5" w:history="1">
              <w:r w:rsidRPr="00015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http://bioinformatics.sdstate.edu/go/</w:t>
              </w:r>
            </w:hyperlink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Provides a graphical visualization of enriched GO terms and facilitates the interpretation of large-scale transcriptomics or proteomics data.</w:t>
            </w:r>
          </w:p>
        </w:tc>
      </w:tr>
      <w:tr w:rsidR="007769A7" w:rsidRPr="00015493" w:rsidTr="008C165E">
        <w:trPr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Clinical Significance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Kaplan-Meier (KM) plotter (</w:t>
            </w:r>
            <w:hyperlink r:id="rId6" w:history="1">
              <w:r w:rsidRPr="00015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https://kmplot.com/analysis/</w:t>
              </w:r>
            </w:hyperlink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Performs survival analysis on gene expression data to assess the impact of specific genes on patient survival in various cancers, aiding in identifying prognostic biomarkers.</w:t>
            </w:r>
          </w:p>
        </w:tc>
      </w:tr>
      <w:tr w:rsidR="007769A7" w:rsidRPr="00015493" w:rsidTr="008C165E">
        <w:trPr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Co-Expression analysis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diffcoexp package of 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 xml:space="preserve">Identifies differentially co-expressed gene pairs from transcriptomics data, providing insights into changes in gene co-expression patterns under different </w:t>
            </w:r>
            <w:r w:rsidRPr="00015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conditions or in different samples.</w:t>
            </w:r>
          </w:p>
        </w:tc>
      </w:tr>
      <w:tr w:rsidR="007769A7" w:rsidRPr="00015493" w:rsidTr="008C165E">
        <w:trPr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RNA Structure Prediction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 xml:space="preserve">RNAfold </w:t>
            </w: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hyperlink r:id="rId7" w:history="1">
              <w:r w:rsidRPr="00015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http://rna.tbi.univie.ac.at/cgi-bin/RNAWebSuite/RNAfold.cgi</w:t>
              </w:r>
            </w:hyperlink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 xml:space="preserve"> and RNAComposer </w:t>
            </w:r>
            <w:r w:rsidRPr="000154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</w:t>
            </w:r>
            <w:hyperlink r:id="rId8" w:history="1">
              <w:r w:rsidRPr="00015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https://rnacomposer.cs.put.poznan.pl/</w:t>
              </w:r>
            </w:hyperlink>
            <w:r w:rsidRPr="000154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RNAfold predicts the secondary structure of RNA molecules based on thermodynamic principles, and RNAComposer predicts three-dimensional models of RNA molecules based on their secondary structure and experimental data. They aid in studying RNA structure-function relationships and RNA-based therapeutics.</w:t>
            </w:r>
          </w:p>
        </w:tc>
      </w:tr>
      <w:tr w:rsidR="007769A7" w:rsidRPr="00015493" w:rsidTr="008C165E">
        <w:trPr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Pharmacokinetic profiling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 xml:space="preserve">SwissADME </w:t>
            </w: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hyperlink r:id="rId9" w:history="1">
              <w:r w:rsidRPr="00015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http://www.swissadme.ch/</w:t>
              </w:r>
            </w:hyperlink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Calculates small molecules' physicochemical and pharmacokinetic properties to assess their drug-likeness and suitability for oral bioavailability, aiding drug discovery and optimization.</w:t>
            </w:r>
          </w:p>
        </w:tc>
      </w:tr>
      <w:tr w:rsidR="007769A7" w:rsidRPr="00015493" w:rsidTr="008C165E">
        <w:trPr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Molecular Docking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 xml:space="preserve">HADDOCK 2.4 </w:t>
            </w: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hyperlink r:id="rId10" w:history="1">
              <w:r w:rsidRPr="00015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https://wenmr.science.uu.nl/haddock2.4/</w:t>
              </w:r>
            </w:hyperlink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It is software for molecular docking to determine the structure and energetics of the complexes, aiding in drug discovery.</w:t>
            </w:r>
          </w:p>
        </w:tc>
      </w:tr>
      <w:tr w:rsidR="007769A7" w:rsidRPr="00015493" w:rsidTr="008C165E">
        <w:trPr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Molecular Dynamics Simulation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GROMACS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769A7" w:rsidRPr="00015493" w:rsidRDefault="007769A7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It is a molecular dynamics simulation software that determines the behaviour of complex biological systems over time, aiding in understanding the interactions and stability.</w:t>
            </w:r>
          </w:p>
        </w:tc>
      </w:tr>
    </w:tbl>
    <w:p w:rsidR="007769A7" w:rsidRPr="00015493" w:rsidRDefault="007769A7" w:rsidP="007769A7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1A3C" w:rsidRDefault="00B91A3C"/>
    <w:sectPr w:rsidR="00B91A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7769A7"/>
    <w:rsid w:val="007769A7"/>
    <w:rsid w:val="00B9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69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nacomposer.cs.put.poznan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na.tbi.univie.ac.at/cgi-bin/RNAWebSuite/RNAfold.cg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mplot.com/analysi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oinformatics.sdstate.edu/go/" TargetMode="External"/><Relationship Id="rId10" Type="http://schemas.openxmlformats.org/officeDocument/2006/relationships/hyperlink" Target="https://wenmr.science.uu.nl/haddock2.4/" TargetMode="External"/><Relationship Id="rId4" Type="http://schemas.openxmlformats.org/officeDocument/2006/relationships/hyperlink" Target="https://string-db.org/" TargetMode="External"/><Relationship Id="rId9" Type="http://schemas.openxmlformats.org/officeDocument/2006/relationships/hyperlink" Target="http://www.swissadme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2023-05-28T11:16:00Z</dcterms:created>
  <dcterms:modified xsi:type="dcterms:W3CDTF">2023-05-28T11:16:00Z</dcterms:modified>
</cp:coreProperties>
</file>