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20" w:rsidRPr="008911A3" w:rsidRDefault="001A3920" w:rsidP="001A3920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1A3920" w:rsidRDefault="001A3920" w:rsidP="001A3920">
      <w:pPr>
        <w:spacing w:line="480" w:lineRule="auto"/>
        <w:rPr>
          <w:rFonts w:ascii="Times New Roman" w:hAnsi="Times New Roman" w:cs="Times New Roman"/>
        </w:rPr>
      </w:pPr>
      <w:bookmarkStart w:id="0" w:name="_Toc83892929"/>
      <w:r>
        <w:rPr>
          <w:rFonts w:ascii="Times New Roman" w:hAnsi="Times New Roman" w:cs="Times New Roman"/>
          <w:b/>
          <w:bCs/>
        </w:rPr>
        <w:t xml:space="preserve">Supplementary Table </w:t>
      </w:r>
      <w:r w:rsidRPr="008911A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</w:t>
      </w:r>
      <w:r w:rsidRPr="008148CD">
        <w:rPr>
          <w:rFonts w:ascii="Times New Roman" w:hAnsi="Times New Roman" w:cs="Times New Roman"/>
        </w:rPr>
        <w:t>Crude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rates,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age-standardized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mortality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rates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(ASMRC)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(ASMRW)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average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percentage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(AAPC)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cirrhosis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China,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2008–2020</w:t>
      </w:r>
      <w:bookmarkEnd w:id="0"/>
    </w:p>
    <w:tbl>
      <w:tblPr>
        <w:tblW w:w="14720" w:type="dxa"/>
        <w:jc w:val="center"/>
        <w:tblLayout w:type="fixed"/>
        <w:tblLook w:val="04A0"/>
      </w:tblPr>
      <w:tblGrid>
        <w:gridCol w:w="1727"/>
        <w:gridCol w:w="1410"/>
        <w:gridCol w:w="1388"/>
        <w:gridCol w:w="1385"/>
        <w:gridCol w:w="236"/>
        <w:gridCol w:w="1335"/>
        <w:gridCol w:w="1457"/>
        <w:gridCol w:w="1337"/>
        <w:gridCol w:w="274"/>
        <w:gridCol w:w="1238"/>
        <w:gridCol w:w="1417"/>
        <w:gridCol w:w="1516"/>
      </w:tblGrid>
      <w:tr w:rsidR="001A3920" w:rsidRPr="008B230F" w:rsidTr="002D21C1">
        <w:trPr>
          <w:trHeight w:val="670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Year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Eastern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China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Central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China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Western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China</w:t>
            </w:r>
          </w:p>
        </w:tc>
      </w:tr>
      <w:tr w:rsidR="001A3920" w:rsidRPr="008B230F" w:rsidTr="002D21C1">
        <w:trPr>
          <w:trHeight w:val="667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3.74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5.19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4.63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10.22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8.61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7.74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5.10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5.44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4.18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10.93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9.34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8.36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3.72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5.34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4.05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10.30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9.06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7.92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4.04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4.43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5.15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5.05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10.28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9.42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7.80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42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3.80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4.30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2.88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10.18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9.93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7.73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4.33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2.96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5.02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10.43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10.50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7.96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3.72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4.15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2.85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4.19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3.19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9.92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10.26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2.47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3.85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2.72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7.52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7.78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5.79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lastRenderedPageBreak/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3.45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2.32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3.61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2.45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7.23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7.78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5.61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2.36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3.39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3.86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2.62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7.04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7.38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5.45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2.90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3.46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2.26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3.49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2.30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7.05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7.57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5.45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2.77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3.47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2.09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2.87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3.48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2.16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342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2.68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2.03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2.94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3.72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2.22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7.41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1A3920" w:rsidRPr="008B230F" w:rsidTr="002D21C1">
        <w:trPr>
          <w:trHeight w:val="763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br/>
              <w:t>2008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4.5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.8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6.3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-4.7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6.2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4.6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.3(-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5.7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1.1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8.3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1.8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.2(-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8.7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-1.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.4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8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-4.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6.6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-4.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8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P-Value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br/>
              <w:t>2008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2.5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4.6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5.9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6.3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1.1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1.7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6.3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0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2.7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>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5.7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3.4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P-Value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.518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.132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.998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.549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br/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13-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10.7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23.8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4.6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25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2.7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11.7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25.5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4.6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10.4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18.8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-1.2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11.6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21.7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-0.3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7.3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9.8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-4.6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P-Value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.118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.047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br/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16-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>0.2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4.7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5.4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8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7.5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2.1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3.3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8.4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0.7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3.8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2.4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-7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0.4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</w:tr>
      <w:tr w:rsidR="001A3920" w:rsidRPr="008B230F" w:rsidTr="002D21C1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920" w:rsidRPr="008B230F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8B230F">
              <w:rPr>
                <w:rFonts w:ascii="Arial" w:eastAsia="等线" w:hAnsi="Arial" w:cs="Arial"/>
                <w:color w:val="000000"/>
                <w:szCs w:val="21"/>
              </w:rPr>
              <w:lastRenderedPageBreak/>
              <w:t>P-Value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.918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920" w:rsidRPr="00E870C5" w:rsidRDefault="001A3920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</w:tr>
    </w:tbl>
    <w:p w:rsidR="001A3920" w:rsidRPr="008911A3" w:rsidRDefault="001A3920" w:rsidP="001A3920">
      <w:pPr>
        <w:spacing w:line="480" w:lineRule="auto"/>
        <w:rPr>
          <w:rFonts w:ascii="Times New Roman" w:hAnsi="Times New Roman" w:cs="Times New Roman"/>
        </w:rPr>
      </w:pPr>
    </w:p>
    <w:p w:rsidR="00CD6B05" w:rsidRDefault="00CD6B05"/>
    <w:sectPr w:rsidR="00CD6B05" w:rsidSect="00D237FA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1A3920"/>
    <w:rsid w:val="001A3920"/>
    <w:rsid w:val="00C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2024-01-15T08:37:00Z</dcterms:created>
  <dcterms:modified xsi:type="dcterms:W3CDTF">2024-01-15T08:37:00Z</dcterms:modified>
</cp:coreProperties>
</file>