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10" w:rsidRPr="00095E8B" w:rsidRDefault="00F05110" w:rsidP="00F05110">
      <w:pPr>
        <w:snapToGri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bookmarkStart w:id="0" w:name="_GoBack"/>
      <w:r w:rsidRPr="00095E8B">
        <w:rPr>
          <w:rFonts w:ascii="Times New Roman" w:hAnsi="Times New Roman" w:cs="Times New Roman"/>
          <w:b/>
          <w:sz w:val="24"/>
          <w:szCs w:val="24"/>
        </w:rPr>
        <w:t>Supplementary Table 4. Potential effects of anticoagulants on liver</w:t>
      </w:r>
    </w:p>
    <w:tbl>
      <w:tblPr>
        <w:tblStyle w:val="TableGrid"/>
        <w:tblW w:w="14318" w:type="dxa"/>
        <w:tblInd w:w="-176" w:type="dxa"/>
        <w:tblLook w:val="04A0"/>
      </w:tblPr>
      <w:tblGrid>
        <w:gridCol w:w="1790"/>
        <w:gridCol w:w="1509"/>
        <w:gridCol w:w="1380"/>
        <w:gridCol w:w="2551"/>
        <w:gridCol w:w="1843"/>
        <w:gridCol w:w="2410"/>
        <w:gridCol w:w="2835"/>
      </w:tblGrid>
      <w:tr w:rsidR="00095E8B" w:rsidRPr="00095E8B" w:rsidDel="00FC77F3" w:rsidTr="00F05110">
        <w:tc>
          <w:tcPr>
            <w:tcW w:w="1790" w:type="dxa"/>
          </w:tcPr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b/>
                <w:sz w:val="24"/>
                <w:szCs w:val="24"/>
              </w:rPr>
              <w:t>Drug</w:t>
            </w:r>
          </w:p>
        </w:tc>
        <w:tc>
          <w:tcPr>
            <w:tcW w:w="1509" w:type="dxa"/>
          </w:tcPr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b/>
                <w:sz w:val="24"/>
                <w:szCs w:val="24"/>
              </w:rPr>
              <w:t>Usage</w:t>
            </w:r>
          </w:p>
        </w:tc>
        <w:tc>
          <w:tcPr>
            <w:tcW w:w="1380" w:type="dxa"/>
          </w:tcPr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b/>
                <w:sz w:val="24"/>
                <w:szCs w:val="24"/>
              </w:rPr>
              <w:t>Onset of DILI</w:t>
            </w:r>
          </w:p>
        </w:tc>
        <w:tc>
          <w:tcPr>
            <w:tcW w:w="2551" w:type="dxa"/>
          </w:tcPr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1843" w:type="dxa"/>
          </w:tcPr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b/>
                <w:sz w:val="24"/>
                <w:szCs w:val="24"/>
              </w:rPr>
              <w:t>Mechanism of hepatotoxicity</w:t>
            </w:r>
          </w:p>
        </w:tc>
        <w:tc>
          <w:tcPr>
            <w:tcW w:w="2410" w:type="dxa"/>
          </w:tcPr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b/>
                <w:sz w:val="24"/>
                <w:szCs w:val="24"/>
              </w:rPr>
              <w:t>Pattern of DILI</w:t>
            </w:r>
          </w:p>
        </w:tc>
        <w:tc>
          <w:tcPr>
            <w:tcW w:w="2835" w:type="dxa"/>
          </w:tcPr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b/>
                <w:sz w:val="24"/>
                <w:szCs w:val="24"/>
              </w:rPr>
              <w:t>Severity</w:t>
            </w:r>
          </w:p>
        </w:tc>
      </w:tr>
      <w:tr w:rsidR="00095E8B" w:rsidRPr="00095E8B" w:rsidDel="00FC77F3" w:rsidTr="00F05110">
        <w:tc>
          <w:tcPr>
            <w:tcW w:w="1790" w:type="dxa"/>
          </w:tcPr>
          <w:p w:rsidR="00F05110" w:rsidRPr="00095E8B" w:rsidDel="00FC77F3" w:rsidRDefault="00DE0BD3" w:rsidP="00DE0BD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Warfarin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s1</w:t>
            </w:r>
          </w:p>
        </w:tc>
        <w:tc>
          <w:tcPr>
            <w:tcW w:w="1509" w:type="dxa"/>
          </w:tcPr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Not typically used as an anticoagulant in treating patients with COVID-19</w:t>
            </w:r>
          </w:p>
        </w:tc>
        <w:tc>
          <w:tcPr>
            <w:tcW w:w="1380" w:type="dxa"/>
          </w:tcPr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Usually within 3 to 8 weeks of starting therapy</w:t>
            </w:r>
          </w:p>
        </w:tc>
        <w:tc>
          <w:tcPr>
            <w:tcW w:w="2551" w:type="dxa"/>
          </w:tcPr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843" w:type="dxa"/>
          </w:tcPr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Idiosyncratic</w:t>
            </w:r>
          </w:p>
        </w:tc>
        <w:tc>
          <w:tcPr>
            <w:tcW w:w="2410" w:type="dxa"/>
          </w:tcPr>
          <w:p w:rsidR="00F05110" w:rsidRPr="00095E8B" w:rsidDel="00FC77F3" w:rsidRDefault="00F05110" w:rsidP="00DE0BD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 xml:space="preserve">Typically cholestatic pattern Hepatocellular and mixed patterns </w:t>
            </w:r>
            <w:r w:rsidR="00DE0BD3"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  <w:r w:rsidR="00DE0B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s2</w:t>
            </w:r>
          </w:p>
        </w:tc>
        <w:tc>
          <w:tcPr>
            <w:tcW w:w="2835" w:type="dxa"/>
          </w:tcPr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Usually mild to moderate in severity Resolves when therapy is stopped Rechallenge should be avoided</w:t>
            </w:r>
          </w:p>
        </w:tc>
      </w:tr>
      <w:tr w:rsidR="00095E8B" w:rsidRPr="00095E8B" w:rsidDel="00FC77F3" w:rsidTr="00F05110">
        <w:tc>
          <w:tcPr>
            <w:tcW w:w="1790" w:type="dxa"/>
          </w:tcPr>
          <w:p w:rsidR="00F05110" w:rsidRPr="00095E8B" w:rsidDel="00FC77F3" w:rsidRDefault="00DE0BD3" w:rsidP="00DE0BD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UFH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s3</w:t>
            </w: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</w:tcPr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Very commonly used</w:t>
            </w:r>
          </w:p>
        </w:tc>
        <w:tc>
          <w:tcPr>
            <w:tcW w:w="1380" w:type="dxa"/>
          </w:tcPr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Usually within 4 to 8 days of starting therapy</w:t>
            </w:r>
          </w:p>
        </w:tc>
        <w:tc>
          <w:tcPr>
            <w:tcW w:w="2551" w:type="dxa"/>
          </w:tcPr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Transient serum aminotransferase elevations in 10% to 60% of patients</w:t>
            </w:r>
          </w:p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Significant elevations in usually around 2%</w:t>
            </w:r>
          </w:p>
        </w:tc>
        <w:tc>
          <w:tcPr>
            <w:tcW w:w="1843" w:type="dxa"/>
          </w:tcPr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Direct effect on hepatocytes</w:t>
            </w:r>
          </w:p>
        </w:tc>
        <w:tc>
          <w:tcPr>
            <w:tcW w:w="2410" w:type="dxa"/>
          </w:tcPr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Typically hepatocellular</w:t>
            </w:r>
          </w:p>
        </w:tc>
        <w:tc>
          <w:tcPr>
            <w:tcW w:w="2835" w:type="dxa"/>
          </w:tcPr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Usually mild elevations of liver enzymes which generally resolve fully within 4 to 10 days of stopping UFH</w:t>
            </w:r>
          </w:p>
        </w:tc>
      </w:tr>
      <w:tr w:rsidR="00095E8B" w:rsidRPr="00095E8B" w:rsidDel="00FC77F3" w:rsidTr="00F05110">
        <w:tc>
          <w:tcPr>
            <w:tcW w:w="1790" w:type="dxa"/>
          </w:tcPr>
          <w:p w:rsidR="00F05110" w:rsidRPr="00095E8B" w:rsidDel="00FC77F3" w:rsidRDefault="00F05110" w:rsidP="00DE0BD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 xml:space="preserve">Enoxaparin, </w:t>
            </w:r>
            <w:r w:rsidR="00DE0BD3"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Dalteparin</w:t>
            </w:r>
            <w:r w:rsidR="00DE0B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s4</w:t>
            </w:r>
          </w:p>
        </w:tc>
        <w:tc>
          <w:tcPr>
            <w:tcW w:w="1509" w:type="dxa"/>
          </w:tcPr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Very commonly used</w:t>
            </w:r>
          </w:p>
        </w:tc>
        <w:tc>
          <w:tcPr>
            <w:tcW w:w="1380" w:type="dxa"/>
          </w:tcPr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Usually within 3–7 days of starting therapy</w:t>
            </w:r>
          </w:p>
        </w:tc>
        <w:tc>
          <w:tcPr>
            <w:tcW w:w="2551" w:type="dxa"/>
          </w:tcPr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Transient serum aminotransferase elevations in 4 to 13%</w:t>
            </w:r>
          </w:p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Significant elevations are much rare</w:t>
            </w:r>
          </w:p>
        </w:tc>
        <w:tc>
          <w:tcPr>
            <w:tcW w:w="1843" w:type="dxa"/>
          </w:tcPr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Direct effect on hepatocytes</w:t>
            </w:r>
          </w:p>
        </w:tc>
        <w:tc>
          <w:tcPr>
            <w:tcW w:w="2410" w:type="dxa"/>
          </w:tcPr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Typically hepatocellular</w:t>
            </w:r>
          </w:p>
        </w:tc>
        <w:tc>
          <w:tcPr>
            <w:tcW w:w="2835" w:type="dxa"/>
          </w:tcPr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Usually mild elevations of liver enzymes which generally resolve fully after stopping therapy</w:t>
            </w:r>
          </w:p>
        </w:tc>
      </w:tr>
      <w:tr w:rsidR="00095E8B" w:rsidRPr="00095E8B" w:rsidDel="00FC77F3" w:rsidTr="00F05110">
        <w:tc>
          <w:tcPr>
            <w:tcW w:w="1790" w:type="dxa"/>
          </w:tcPr>
          <w:p w:rsidR="00F05110" w:rsidRPr="00095E8B" w:rsidDel="00FC77F3" w:rsidRDefault="00DE0BD3" w:rsidP="00DE0BD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Fondaparinux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s5</w:t>
            </w:r>
          </w:p>
        </w:tc>
        <w:tc>
          <w:tcPr>
            <w:tcW w:w="1509" w:type="dxa"/>
          </w:tcPr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Commonly used</w:t>
            </w:r>
          </w:p>
        </w:tc>
        <w:tc>
          <w:tcPr>
            <w:tcW w:w="1380" w:type="dxa"/>
          </w:tcPr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Usually within 3–7 days of starting therapy</w:t>
            </w:r>
          </w:p>
        </w:tc>
        <w:tc>
          <w:tcPr>
            <w:tcW w:w="2551" w:type="dxa"/>
          </w:tcPr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Low rate of serum aminotransferase elevations during therapy (1 to 3%)</w:t>
            </w:r>
          </w:p>
        </w:tc>
        <w:tc>
          <w:tcPr>
            <w:tcW w:w="1843" w:type="dxa"/>
          </w:tcPr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Direct effect on hepatocytes</w:t>
            </w:r>
          </w:p>
          <w:p w:rsidR="00F05110" w:rsidRPr="00095E8B" w:rsidDel="00FC77F3" w:rsidRDefault="00F05110" w:rsidP="00DE0BD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 xml:space="preserve">Can also cause idiosyncratic </w:t>
            </w:r>
            <w:r w:rsidR="00DE0BD3"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DILI</w:t>
            </w:r>
            <w:r w:rsidR="00DE0B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s6</w:t>
            </w:r>
          </w:p>
        </w:tc>
        <w:tc>
          <w:tcPr>
            <w:tcW w:w="2410" w:type="dxa"/>
          </w:tcPr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Typically hepatocellular</w:t>
            </w:r>
          </w:p>
        </w:tc>
        <w:tc>
          <w:tcPr>
            <w:tcW w:w="2835" w:type="dxa"/>
          </w:tcPr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Usually mild elevations of liver enzymes which generally resolve fully after stopping therapy</w:t>
            </w:r>
          </w:p>
        </w:tc>
      </w:tr>
      <w:tr w:rsidR="00095E8B" w:rsidRPr="00095E8B" w:rsidDel="00FC77F3" w:rsidTr="00F05110">
        <w:tc>
          <w:tcPr>
            <w:tcW w:w="1790" w:type="dxa"/>
          </w:tcPr>
          <w:p w:rsidR="00F05110" w:rsidRPr="00095E8B" w:rsidDel="00FC77F3" w:rsidRDefault="00DE0BD3" w:rsidP="00DE0BD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Rivaroxaban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s7</w:t>
            </w:r>
          </w:p>
        </w:tc>
        <w:tc>
          <w:tcPr>
            <w:tcW w:w="1509" w:type="dxa"/>
          </w:tcPr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Commonly used</w:t>
            </w:r>
          </w:p>
        </w:tc>
        <w:tc>
          <w:tcPr>
            <w:tcW w:w="1380" w:type="dxa"/>
          </w:tcPr>
          <w:p w:rsidR="00F05110" w:rsidRPr="00095E8B" w:rsidDel="00FC77F3" w:rsidRDefault="00F05110" w:rsidP="00DE0BD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 xml:space="preserve">Ranged from 2 to 180 days </w:t>
            </w: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(median: 15 days)</w:t>
            </w:r>
            <w:r w:rsidR="00DE0B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s8</w:t>
            </w:r>
          </w:p>
        </w:tc>
        <w:tc>
          <w:tcPr>
            <w:tcW w:w="2551" w:type="dxa"/>
          </w:tcPr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Associated with moderate ALT elevations (greater than </w:t>
            </w: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3-times the ULN) in 1.5-3% of patients</w:t>
            </w:r>
          </w:p>
        </w:tc>
        <w:tc>
          <w:tcPr>
            <w:tcW w:w="1843" w:type="dxa"/>
          </w:tcPr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Idiosyncratic and perhaps immunologic</w:t>
            </w:r>
          </w:p>
        </w:tc>
        <w:tc>
          <w:tcPr>
            <w:tcW w:w="2410" w:type="dxa"/>
          </w:tcPr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Usually hepatocellular pattern</w:t>
            </w:r>
          </w:p>
          <w:p w:rsidR="00F05110" w:rsidRPr="00095E8B" w:rsidDel="00FC77F3" w:rsidRDefault="00F05110" w:rsidP="00DE0BD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 xml:space="preserve">Cholestatic and mixed </w:t>
            </w: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patterns reported </w:t>
            </w:r>
            <w:r w:rsidR="00DE0BD3"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rarely</w:t>
            </w:r>
            <w:r w:rsidR="00DE0B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s9</w:t>
            </w:r>
          </w:p>
        </w:tc>
        <w:tc>
          <w:tcPr>
            <w:tcW w:w="2835" w:type="dxa"/>
          </w:tcPr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Usually mild to moderate in severity Resolves when therapy is stopped</w:t>
            </w:r>
          </w:p>
        </w:tc>
      </w:tr>
      <w:tr w:rsidR="00095E8B" w:rsidRPr="00095E8B" w:rsidDel="00FC77F3" w:rsidTr="00F05110">
        <w:tc>
          <w:tcPr>
            <w:tcW w:w="1790" w:type="dxa"/>
          </w:tcPr>
          <w:p w:rsidR="00F05110" w:rsidRPr="00095E8B" w:rsidDel="00FC77F3" w:rsidRDefault="00DE0BD3" w:rsidP="00DE0BD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Apixaban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s7</w:t>
            </w:r>
          </w:p>
        </w:tc>
        <w:tc>
          <w:tcPr>
            <w:tcW w:w="1509" w:type="dxa"/>
          </w:tcPr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Commonly used</w:t>
            </w:r>
          </w:p>
        </w:tc>
        <w:tc>
          <w:tcPr>
            <w:tcW w:w="1380" w:type="dxa"/>
          </w:tcPr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Usually within few days of treatment onset</w:t>
            </w:r>
          </w:p>
        </w:tc>
        <w:tc>
          <w:tcPr>
            <w:tcW w:w="2551" w:type="dxa"/>
          </w:tcPr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Serum aminotransferase elevations greater than 3 times the ULN in 1-2% of treated patients</w:t>
            </w:r>
          </w:p>
        </w:tc>
        <w:tc>
          <w:tcPr>
            <w:tcW w:w="1843" w:type="dxa"/>
          </w:tcPr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Due to production of a toxic or immunogenic intermediate.</w:t>
            </w:r>
          </w:p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Chance of drug interaction as the drug is metabolized in the liver predominantly via the cytochrome P450 system.</w:t>
            </w:r>
          </w:p>
        </w:tc>
        <w:tc>
          <w:tcPr>
            <w:tcW w:w="2410" w:type="dxa"/>
          </w:tcPr>
          <w:p w:rsidR="00F05110" w:rsidRPr="00095E8B" w:rsidDel="00FC77F3" w:rsidRDefault="00F05110" w:rsidP="00DE0BD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 xml:space="preserve">Usually hepatocellular </w:t>
            </w:r>
            <w:r w:rsidR="00DE0BD3"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pattern</w:t>
            </w:r>
            <w:r w:rsidR="00DE0B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s9</w:t>
            </w:r>
          </w:p>
        </w:tc>
        <w:tc>
          <w:tcPr>
            <w:tcW w:w="2835" w:type="dxa"/>
          </w:tcPr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Mild and usually self-limited after stopping the drug</w:t>
            </w:r>
          </w:p>
        </w:tc>
      </w:tr>
      <w:tr w:rsidR="00095E8B" w:rsidRPr="00095E8B" w:rsidDel="00FC77F3" w:rsidTr="00F05110">
        <w:tc>
          <w:tcPr>
            <w:tcW w:w="1790" w:type="dxa"/>
          </w:tcPr>
          <w:p w:rsidR="00F05110" w:rsidRPr="00095E8B" w:rsidDel="00FC77F3" w:rsidRDefault="00DE0BD3" w:rsidP="00DE0BD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Dabigatran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s7</w:t>
            </w:r>
          </w:p>
        </w:tc>
        <w:tc>
          <w:tcPr>
            <w:tcW w:w="1509" w:type="dxa"/>
          </w:tcPr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Commonly used</w:t>
            </w:r>
          </w:p>
        </w:tc>
        <w:tc>
          <w:tcPr>
            <w:tcW w:w="1380" w:type="dxa"/>
          </w:tcPr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Usually within few days of treatment onset</w:t>
            </w:r>
          </w:p>
        </w:tc>
        <w:tc>
          <w:tcPr>
            <w:tcW w:w="2551" w:type="dxa"/>
          </w:tcPr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Associated with moderate ALT elevations (greater than 3 times the ULN) in 1.5-3% of patients</w:t>
            </w:r>
          </w:p>
        </w:tc>
        <w:tc>
          <w:tcPr>
            <w:tcW w:w="1843" w:type="dxa"/>
          </w:tcPr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Idiosyncratic and perhaps immunologic</w:t>
            </w:r>
          </w:p>
        </w:tc>
        <w:tc>
          <w:tcPr>
            <w:tcW w:w="2410" w:type="dxa"/>
          </w:tcPr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Usually hepatocellular pattern</w:t>
            </w:r>
          </w:p>
          <w:p w:rsidR="00F05110" w:rsidRPr="00095E8B" w:rsidDel="00FC77F3" w:rsidRDefault="00F05110" w:rsidP="00DE0BD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 xml:space="preserve">Cholestatic and mixed patterns reported </w:t>
            </w:r>
            <w:r w:rsidR="00DE0BD3"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rarely</w:t>
            </w:r>
            <w:r w:rsidR="00DE0B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s10</w:t>
            </w:r>
            <w:r w:rsidR="00DE0BD3"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05110" w:rsidRPr="00095E8B" w:rsidDel="00FC77F3" w:rsidRDefault="00F05110" w:rsidP="00F05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B" w:rsidDel="00FC77F3">
              <w:rPr>
                <w:rFonts w:ascii="Times New Roman" w:hAnsi="Times New Roman" w:cs="Times New Roman"/>
                <w:sz w:val="24"/>
                <w:szCs w:val="24"/>
              </w:rPr>
              <w:t>Mild and usually self-limited after stopping the drug</w:t>
            </w:r>
          </w:p>
        </w:tc>
      </w:tr>
      <w:bookmarkEnd w:id="0"/>
    </w:tbl>
    <w:p w:rsidR="00FC38A7" w:rsidRDefault="00FC38A7"/>
    <w:p w:rsidR="00494E63" w:rsidRDefault="00494E63">
      <w:pPr>
        <w:rPr>
          <w:b/>
        </w:rPr>
      </w:pPr>
      <w:r w:rsidRPr="00494E63">
        <w:rPr>
          <w:b/>
        </w:rPr>
        <w:t>References</w:t>
      </w:r>
    </w:p>
    <w:p w:rsidR="00494E63" w:rsidRPr="00D43A72" w:rsidRDefault="00CA39D1" w:rsidP="00CA39D1">
      <w:pPr>
        <w:pStyle w:val="Reference"/>
      </w:pPr>
      <w:bookmarkStart w:id="1" w:name="_ENREF_110"/>
      <w:r>
        <w:rPr>
          <w:shd w:val="clear" w:color="auto" w:fill="FFFFFF"/>
        </w:rPr>
        <w:t xml:space="preserve">s1. </w:t>
      </w:r>
      <w:r w:rsidR="00494E63" w:rsidRPr="00D43A72">
        <w:rPr>
          <w:shd w:val="clear" w:color="auto" w:fill="FFFFFF"/>
        </w:rPr>
        <w:t>Ehrenforth S, Schenk JF, Scharrer I. Liver damage induced by coumarin anticoagulants. Semin Thromb Hemost 1999;25(1):79-83. doi: 10.1055/s-2007-996428</w:t>
      </w:r>
      <w:r w:rsidR="00494E63" w:rsidRPr="00D43A72">
        <w:t>.</w:t>
      </w:r>
      <w:bookmarkEnd w:id="1"/>
    </w:p>
    <w:p w:rsidR="00494E63" w:rsidRPr="00D43A72" w:rsidRDefault="00CA39D1" w:rsidP="00CA39D1">
      <w:pPr>
        <w:pStyle w:val="Reference"/>
      </w:pPr>
      <w:bookmarkStart w:id="2" w:name="_ENREF_111"/>
      <w:r>
        <w:rPr>
          <w:shd w:val="clear" w:color="auto" w:fill="FFFFFF"/>
        </w:rPr>
        <w:t xml:space="preserve">s2. </w:t>
      </w:r>
      <w:r w:rsidR="00494E63" w:rsidRPr="00D43A72">
        <w:rPr>
          <w:shd w:val="clear" w:color="auto" w:fill="FFFFFF"/>
        </w:rPr>
        <w:t>Adler E, Benjamin SB, Zimmerman HJ. Cholestatic hepatic injury related to warfarin exposure. Arch Intern Med 1986;146(9):1837-</w:t>
      </w:r>
      <w:r w:rsidR="00494E63" w:rsidRPr="00D43A72">
        <w:rPr>
          <w:rFonts w:hint="eastAsia"/>
          <w:shd w:val="clear" w:color="auto" w:fill="FFFFFF"/>
          <w:lang w:eastAsia="zh-CN"/>
        </w:rPr>
        <w:t>183</w:t>
      </w:r>
      <w:r w:rsidR="00494E63" w:rsidRPr="00D43A72">
        <w:rPr>
          <w:shd w:val="clear" w:color="auto" w:fill="FFFFFF"/>
        </w:rPr>
        <w:t>9.</w:t>
      </w:r>
      <w:bookmarkEnd w:id="2"/>
      <w:r w:rsidR="00494E63" w:rsidRPr="00D43A72">
        <w:t xml:space="preserve"> </w:t>
      </w:r>
      <w:r w:rsidR="00494E63" w:rsidRPr="00D43A72">
        <w:rPr>
          <w:shd w:val="clear" w:color="auto" w:fill="FFFFFF"/>
        </w:rPr>
        <w:t>doi: 10.1001/archinte.1986.00360210235037.</w:t>
      </w:r>
    </w:p>
    <w:p w:rsidR="00494E63" w:rsidRPr="00D43A72" w:rsidRDefault="00CA39D1" w:rsidP="00CA39D1">
      <w:pPr>
        <w:pStyle w:val="Reference"/>
      </w:pPr>
      <w:bookmarkStart w:id="3" w:name="_ENREF_112"/>
      <w:r>
        <w:rPr>
          <w:shd w:val="clear" w:color="auto" w:fill="FFFFFF"/>
        </w:rPr>
        <w:lastRenderedPageBreak/>
        <w:t xml:space="preserve">s3. </w:t>
      </w:r>
      <w:r w:rsidR="00494E63" w:rsidRPr="00D43A72">
        <w:rPr>
          <w:shd w:val="clear" w:color="auto" w:fill="FFFFFF"/>
        </w:rPr>
        <w:t>Hahn KJ, Morales SJ, Lewis JH. Enoxaparin-induced liver injury: Case report and review of the literature and FDA adverse event reporting system (FAERS). Drug Saf Case Rep 2015;2(1):17. doi: 10.1007/s40800-015-0018-0</w:t>
      </w:r>
      <w:r w:rsidR="00494E63" w:rsidRPr="00D43A72">
        <w:t>.</w:t>
      </w:r>
      <w:bookmarkEnd w:id="3"/>
    </w:p>
    <w:p w:rsidR="00494E63" w:rsidRPr="00D43A72" w:rsidRDefault="00CA39D1" w:rsidP="00CA39D1">
      <w:pPr>
        <w:pStyle w:val="Reference"/>
      </w:pPr>
      <w:bookmarkStart w:id="4" w:name="_ENREF_113"/>
      <w:r>
        <w:rPr>
          <w:shd w:val="clear" w:color="auto" w:fill="FFFFFF"/>
        </w:rPr>
        <w:t xml:space="preserve">s4. </w:t>
      </w:r>
      <w:r w:rsidR="00494E63" w:rsidRPr="00D43A72">
        <w:rPr>
          <w:shd w:val="clear" w:color="auto" w:fill="FFFFFF"/>
        </w:rPr>
        <w:t>Mehershahi S, Mantri N, Kumar A, Danial S, Harish P. Enoxaparin-induced liver injury. Case Rep Gastroenterol 2020;14(2):315-319. doi: 10.1159/000508471</w:t>
      </w:r>
      <w:r w:rsidR="00494E63" w:rsidRPr="00D43A72">
        <w:t>.</w:t>
      </w:r>
      <w:bookmarkEnd w:id="4"/>
    </w:p>
    <w:p w:rsidR="00494E63" w:rsidRPr="00D43A72" w:rsidRDefault="00CA39D1" w:rsidP="00CA39D1">
      <w:pPr>
        <w:pStyle w:val="Reference"/>
      </w:pPr>
      <w:bookmarkStart w:id="5" w:name="_ENREF_114"/>
      <w:r>
        <w:rPr>
          <w:shd w:val="clear" w:color="auto" w:fill="FFFFFF"/>
        </w:rPr>
        <w:t xml:space="preserve">s5. </w:t>
      </w:r>
      <w:r w:rsidR="00494E63" w:rsidRPr="00D43A72">
        <w:rPr>
          <w:shd w:val="clear" w:color="auto" w:fill="FFFFFF"/>
        </w:rPr>
        <w:t xml:space="preserve">Russo V, Cardillo G, Viggiano GV, Mangiacapra S, Cavalli A, Fontanella A, </w:t>
      </w:r>
      <w:r w:rsidR="00494E63" w:rsidRPr="00D43A72">
        <w:rPr>
          <w:rFonts w:hint="eastAsia"/>
          <w:i/>
          <w:shd w:val="clear" w:color="auto" w:fill="FFFFFF"/>
          <w:lang w:eastAsia="zh-CN"/>
        </w:rPr>
        <w:t>et al</w:t>
      </w:r>
      <w:r w:rsidR="00494E63" w:rsidRPr="00D43A72">
        <w:rPr>
          <w:shd w:val="clear" w:color="auto" w:fill="FFFFFF"/>
        </w:rPr>
        <w:t>. Fondaparinux use in patients with COVID-19: A preliminary multicenter real-world experience. J Cardiovasc Pharmacol 2020;76(4):369-371. doi: 10.1097/FJC.0000000000000893</w:t>
      </w:r>
      <w:r w:rsidR="00494E63" w:rsidRPr="00D43A72">
        <w:t>.</w:t>
      </w:r>
      <w:bookmarkEnd w:id="5"/>
    </w:p>
    <w:p w:rsidR="00494E63" w:rsidRPr="00D43A72" w:rsidRDefault="00CA39D1" w:rsidP="00CA39D1">
      <w:pPr>
        <w:pStyle w:val="Reference"/>
      </w:pPr>
      <w:bookmarkStart w:id="6" w:name="_ENREF_115"/>
      <w:r>
        <w:rPr>
          <w:shd w:val="clear" w:color="auto" w:fill="FFFFFF"/>
        </w:rPr>
        <w:t xml:space="preserve">s6. </w:t>
      </w:r>
      <w:r w:rsidR="00494E63" w:rsidRPr="00D43A72">
        <w:rPr>
          <w:shd w:val="clear" w:color="auto" w:fill="FFFFFF"/>
        </w:rPr>
        <w:t>Orostegui L, Medejel N, Kone-Paut I, Dreyfus M, Benhamou D. Fondaparinux (Arixtra *) hepatotoxicity in a 6 year-old child. J Hepatol 2013;58(1):195-</w:t>
      </w:r>
      <w:r w:rsidR="00494E63" w:rsidRPr="00D43A72">
        <w:rPr>
          <w:rFonts w:hint="eastAsia"/>
          <w:shd w:val="clear" w:color="auto" w:fill="FFFFFF"/>
          <w:lang w:eastAsia="zh-CN"/>
        </w:rPr>
        <w:t>19</w:t>
      </w:r>
      <w:r w:rsidR="00494E63" w:rsidRPr="00D43A72">
        <w:rPr>
          <w:shd w:val="clear" w:color="auto" w:fill="FFFFFF"/>
        </w:rPr>
        <w:t>8. doi: 10.1016/j.jhep.2012.09.015</w:t>
      </w:r>
      <w:r w:rsidR="00494E63" w:rsidRPr="00D43A72">
        <w:t>.</w:t>
      </w:r>
      <w:bookmarkEnd w:id="6"/>
    </w:p>
    <w:p w:rsidR="00494E63" w:rsidRPr="00D43A72" w:rsidRDefault="00CA39D1" w:rsidP="00CA39D1">
      <w:pPr>
        <w:pStyle w:val="Reference"/>
      </w:pPr>
      <w:bookmarkStart w:id="7" w:name="_ENREF_116"/>
      <w:r>
        <w:rPr>
          <w:shd w:val="clear" w:color="auto" w:fill="FFFFFF"/>
        </w:rPr>
        <w:t xml:space="preserve">s7. </w:t>
      </w:r>
      <w:r w:rsidR="00494E63" w:rsidRPr="00D43A72">
        <w:rPr>
          <w:shd w:val="clear" w:color="auto" w:fill="FFFFFF"/>
        </w:rPr>
        <w:t>Liakoni E, Rätz Bravo AE, Krähenbühl S. Hepatotoxicity of new oral anticoagulants (NOACs). Drug Saf 2015;38(8):711-</w:t>
      </w:r>
      <w:r w:rsidR="00494E63" w:rsidRPr="00D43A72">
        <w:rPr>
          <w:rFonts w:hint="eastAsia"/>
          <w:shd w:val="clear" w:color="auto" w:fill="FFFFFF"/>
          <w:lang w:eastAsia="zh-CN"/>
        </w:rPr>
        <w:t>7</w:t>
      </w:r>
      <w:r w:rsidR="00494E63" w:rsidRPr="00D43A72">
        <w:rPr>
          <w:shd w:val="clear" w:color="auto" w:fill="FFFFFF"/>
        </w:rPr>
        <w:t>20. doi: 10.1007/s40264-015-0317-5</w:t>
      </w:r>
      <w:r w:rsidR="00494E63" w:rsidRPr="00D43A72">
        <w:t>.</w:t>
      </w:r>
      <w:bookmarkEnd w:id="7"/>
    </w:p>
    <w:p w:rsidR="00494E63" w:rsidRPr="00D43A72" w:rsidRDefault="00CA39D1" w:rsidP="00CA39D1">
      <w:pPr>
        <w:pStyle w:val="Reference"/>
      </w:pPr>
      <w:bookmarkStart w:id="8" w:name="_ENREF_117"/>
      <w:r>
        <w:rPr>
          <w:shd w:val="clear" w:color="auto" w:fill="FFFFFF"/>
        </w:rPr>
        <w:t xml:space="preserve">s8. </w:t>
      </w:r>
      <w:r w:rsidR="00494E63" w:rsidRPr="00D43A72">
        <w:rPr>
          <w:shd w:val="clear" w:color="auto" w:fill="FFFFFF"/>
        </w:rPr>
        <w:t xml:space="preserve">Licata A, Puccia F, Lombardo V, Serruto A, Minissale MG, Morreale I, </w:t>
      </w:r>
      <w:r w:rsidR="00494E63" w:rsidRPr="00D43A72">
        <w:rPr>
          <w:rFonts w:hint="eastAsia"/>
          <w:i/>
          <w:shd w:val="clear" w:color="auto" w:fill="FFFFFF"/>
          <w:lang w:eastAsia="zh-CN"/>
        </w:rPr>
        <w:t>et al</w:t>
      </w:r>
      <w:r w:rsidR="00494E63" w:rsidRPr="00D43A72">
        <w:rPr>
          <w:shd w:val="clear" w:color="auto" w:fill="FFFFFF"/>
        </w:rPr>
        <w:t>. Rivaroxaban-induced hepatotoxicity: review of the literature and report of new cases. Eur J Gastroenterol Hepatol 2018;30(2):226-232. doi: 10.1097/MEG.0000000000001030</w:t>
      </w:r>
      <w:r w:rsidR="00494E63" w:rsidRPr="00D43A72">
        <w:t>.</w:t>
      </w:r>
      <w:bookmarkEnd w:id="8"/>
    </w:p>
    <w:p w:rsidR="00494E63" w:rsidRPr="00D43A72" w:rsidRDefault="00CA39D1" w:rsidP="00CA39D1">
      <w:pPr>
        <w:pStyle w:val="Reference"/>
      </w:pPr>
      <w:bookmarkStart w:id="9" w:name="_ENREF_118"/>
      <w:r>
        <w:rPr>
          <w:shd w:val="clear" w:color="auto" w:fill="FFFFFF"/>
        </w:rPr>
        <w:t xml:space="preserve">s9. </w:t>
      </w:r>
      <w:r w:rsidR="00494E63" w:rsidRPr="00D43A72">
        <w:rPr>
          <w:shd w:val="clear" w:color="auto" w:fill="FFFFFF"/>
        </w:rPr>
        <w:t xml:space="preserve">Cordeanu M, Lambert A, Gaertner S, Nouri S, Mirea C, Alt-Tebacher M, </w:t>
      </w:r>
      <w:r w:rsidR="00494E63" w:rsidRPr="00D43A72">
        <w:rPr>
          <w:rFonts w:hint="eastAsia"/>
          <w:i/>
          <w:shd w:val="clear" w:color="auto" w:fill="FFFFFF"/>
          <w:lang w:eastAsia="zh-CN"/>
        </w:rPr>
        <w:t>et al</w:t>
      </w:r>
      <w:r w:rsidR="00494E63" w:rsidRPr="00D43A72">
        <w:rPr>
          <w:shd w:val="clear" w:color="auto" w:fill="FFFFFF"/>
        </w:rPr>
        <w:t>. Apixaban-induced hepatotoxicity. Int J Cardiol 2016;204:4-5. doi: 10.1016/j.ijcard.2015.11.147</w:t>
      </w:r>
      <w:r w:rsidR="00494E63" w:rsidRPr="00D43A72">
        <w:t>.</w:t>
      </w:r>
      <w:bookmarkEnd w:id="9"/>
    </w:p>
    <w:p w:rsidR="00494E63" w:rsidRPr="00D43A72" w:rsidRDefault="00CA39D1" w:rsidP="00CA39D1">
      <w:pPr>
        <w:pStyle w:val="Reference"/>
      </w:pPr>
      <w:bookmarkStart w:id="10" w:name="_ENREF_119"/>
      <w:r>
        <w:rPr>
          <w:shd w:val="clear" w:color="auto" w:fill="FFFFFF"/>
        </w:rPr>
        <w:t xml:space="preserve">s10. </w:t>
      </w:r>
      <w:r w:rsidR="00494E63" w:rsidRPr="00D43A72">
        <w:rPr>
          <w:shd w:val="clear" w:color="auto" w:fill="FFFFFF"/>
        </w:rPr>
        <w:t>Comuth WJ, Haase AM, Henriksen LØ, Malczynski J, van de Kerkhof D, Münster AB. Cholestatic liver injury as a side-effect of dabigatran and the use of coagulation tests in dabigatran intoxication and after reversal by idarucizumab in bleeding and sepsis. Scand J Clin Lab Invest 2018;78(1-2):1-5. doi: 10.1080/00365513.2017.1402127</w:t>
      </w:r>
      <w:r w:rsidR="00494E63" w:rsidRPr="00D43A72">
        <w:t>.</w:t>
      </w:r>
      <w:bookmarkEnd w:id="10"/>
    </w:p>
    <w:p w:rsidR="00494E63" w:rsidRPr="00494E63" w:rsidRDefault="00494E63" w:rsidP="00CA39D1">
      <w:pPr>
        <w:pStyle w:val="Reference"/>
      </w:pPr>
    </w:p>
    <w:sectPr w:rsidR="00494E63" w:rsidRPr="00494E63" w:rsidSect="00F051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5110"/>
    <w:rsid w:val="00095E8B"/>
    <w:rsid w:val="00113B22"/>
    <w:rsid w:val="00494E63"/>
    <w:rsid w:val="00587936"/>
    <w:rsid w:val="00CA39D1"/>
    <w:rsid w:val="00DE0BD3"/>
    <w:rsid w:val="00F05110"/>
    <w:rsid w:val="00FC3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10"/>
    <w:pPr>
      <w:spacing w:after="160" w:line="259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110"/>
    <w:rPr>
      <w:kern w:val="0"/>
      <w:sz w:val="22"/>
      <w:lang w:val="en-IN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ce">
    <w:name w:val="Reference"/>
    <w:rsid w:val="00494E63"/>
    <w:pPr>
      <w:ind w:left="357" w:hanging="357"/>
    </w:pPr>
    <w:rPr>
      <w:rFonts w:ascii="Times New Roman" w:eastAsia="宋体" w:hAnsi="Times New Roman" w:cs="Times New Roman"/>
      <w:kern w:val="0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D3"/>
    <w:rPr>
      <w:rFonts w:ascii="Tahoma" w:hAnsi="Tahoma" w:cs="Tahoma"/>
      <w:kern w:val="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10"/>
    <w:pPr>
      <w:spacing w:after="160" w:line="259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110"/>
    <w:rPr>
      <w:kern w:val="0"/>
      <w:sz w:val="22"/>
      <w:lang w:val="en-IN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700</Words>
  <Characters>3995</Characters>
  <Application>Microsoft Office Word</Application>
  <DocSecurity>0</DocSecurity>
  <Lines>33</Lines>
  <Paragraphs>9</Paragraphs>
  <ScaleCrop>false</ScaleCrop>
  <Company>HP Inc.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</dc:creator>
  <cp:lastModifiedBy>Robin Wei</cp:lastModifiedBy>
  <cp:revision>6</cp:revision>
  <dcterms:created xsi:type="dcterms:W3CDTF">2021-04-03T03:24:00Z</dcterms:created>
  <dcterms:modified xsi:type="dcterms:W3CDTF">2021-04-04T23:21:00Z</dcterms:modified>
</cp:coreProperties>
</file>