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C" w:rsidRPr="001D45B9" w:rsidRDefault="003640FC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 w:rsidRPr="001D45B9">
        <w:rPr>
          <w:rFonts w:ascii="Times New Roman" w:hAnsi="Times New Roman" w:cs="Times New Roman"/>
          <w:b/>
          <w:sz w:val="24"/>
          <w:szCs w:val="24"/>
        </w:rPr>
        <w:t>Supplementary Table 3.</w:t>
      </w:r>
      <w:r w:rsidRPr="001D45B9">
        <w:rPr>
          <w:rFonts w:ascii="Times New Roman" w:hAnsi="Times New Roman" w:cs="Times New Roman"/>
          <w:sz w:val="24"/>
          <w:szCs w:val="24"/>
        </w:rPr>
        <w:t xml:space="preserve"> </w:t>
      </w:r>
      <w:r w:rsidRPr="001D45B9">
        <w:rPr>
          <w:rFonts w:ascii="Times New Roman" w:hAnsi="Times New Roman" w:cs="Times New Roman"/>
          <w:b/>
          <w:bCs/>
          <w:sz w:val="24"/>
          <w:szCs w:val="24"/>
        </w:rPr>
        <w:t>Newer drugs being tried in the treatment of patients with COVID-19 and its possible effects on the liver</w:t>
      </w:r>
    </w:p>
    <w:tbl>
      <w:tblPr>
        <w:tblStyle w:val="LightGrid-Accent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09"/>
        <w:gridCol w:w="6663"/>
        <w:gridCol w:w="5670"/>
      </w:tblGrid>
      <w:tr w:rsidR="001D45B9" w:rsidRPr="001D45B9" w:rsidTr="003640FC">
        <w:trPr>
          <w:cnfStyle w:val="1000000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Potential to cause DILI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Molnupiravir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Introduces copying errors during viral RNA replication of the SARS-CoV-2 virus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Seems rare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More data needed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Nitazoxanide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Thiazolide antiparasitic agent; inhibits replication of a broad range of respiratory viruses in cell cultures, including SARS-CoV-2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Immunoallergic reactions leading to mild elevations of liver enzymes have been reported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Niclosamide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Anthelmintic agent that has potential use as an antiviral agent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Extremely rare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Rintatolimod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Toll-like receptor 3 agonist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Bemcentinib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Oral AXL kinase inhibitor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Umifenovir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Targets the spike glycoproteins of SARS-CoV-2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Plitidepsin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Belongs to the class of didemnins; targets EF1A, which is key to multiplication and spread of the virus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DC0C1D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Transient transaminase elevations were frequent but achieved grade 3 or 4 in only 10% of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s1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VIR-2703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Drug targets small interfering RNA which leads to gene silencing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AT-527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Purine nucleotide prodrug that inhibits RNA polymerase enzyme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Trabedersen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Antisense oligonucleotide that inhibits transforming growth factor-beta 2 expression; inhibits Viral replication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Apilimod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Inhibits the lipid kinase enzyme PIKfyve; interferes with the entry </w:t>
            </w: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trafficking of the SARS-CoV-2 virus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needed to establish safety on liver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Bamlanivimab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Antiviral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Neutralizing IgG1 monoclonal antibody directed against the spike protein of SARS-CoV-2; blocks viral attachment and entry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Inhibits tumor necrosis factor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1) Can cause elevation of aminotransferases and ALP; usually not severe and resolves in 4 to 12 weeks of stopping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s2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2) Hepatocellular injury typically associated with autoimmune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s2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3) Cholestatic injury, can arise as early as a few days to up to 24 weeks after starting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s3</w:t>
            </w:r>
          </w:p>
          <w:p w:rsidR="003640FC" w:rsidRPr="001D45B9" w:rsidRDefault="003640FC" w:rsidP="00DC0C1D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4) Liver injury due to reactivation of chronic hepatitis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s4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Abatacept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Prevents full activation of T cells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DC0C1D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Aminotransferase elevations occur in 2% to 3% of treated patients, causing liver injury by triggering autoimmunity has been reported;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s5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liver injury due to reactivation of chronic hepatitis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s6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Cenicriviroc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Blocks 2 chemokine receptors, CCR2 and CCR5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Safety established from fatty liver studies; data needed to establish safety on liver in patients with COVID-19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Bevacizumab 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Anti-vascular endothelial growth factor; acts to decrease vascular permeability and pulmonary edema in patients with SARS-CoV2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Reported to be safe but as the drug inhibits angiogenesis, it can potentially affect liver regeneration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Tradipitant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NK-1 receptor antagonist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Data needed to establish safety on liver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Sargramostim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Inhaled colony-stimulating factor; reduce the risk of secondary infection; stimulate alveolar epithelial cell healing during lung injury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Safe; occasional rise of ALP, but postulated to be from the bone instead of the liver</w:t>
            </w:r>
          </w:p>
        </w:tc>
      </w:tr>
      <w:tr w:rsidR="001D45B9" w:rsidRPr="001D45B9" w:rsidTr="003640FC">
        <w:trPr>
          <w:cnfStyle w:val="00000010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Remestemcel-L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Allogeneic mesenchymal stem cell; plays a role in downregulation of proinflammatory cytokines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needed to establish safety on liver</w:t>
            </w:r>
          </w:p>
        </w:tc>
      </w:tr>
      <w:tr w:rsidR="001D45B9" w:rsidRPr="001D45B9" w:rsidTr="003640FC">
        <w:trPr>
          <w:cnfStyle w:val="000000010000"/>
        </w:trPr>
        <w:tc>
          <w:tcPr>
            <w:cnfStyle w:val="001000000000"/>
            <w:tcW w:w="1809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Ibudilast</w:t>
            </w:r>
          </w:p>
        </w:tc>
        <w:tc>
          <w:tcPr>
            <w:tcW w:w="6663" w:type="dxa"/>
            <w:shd w:val="clear" w:color="auto" w:fill="auto"/>
          </w:tcPr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b/>
                <w:sz w:val="24"/>
                <w:szCs w:val="24"/>
              </w:rPr>
              <w:t>Immunomodulator</w:t>
            </w:r>
          </w:p>
          <w:p w:rsidR="003640FC" w:rsidRPr="001D45B9" w:rsidRDefault="003640FC" w:rsidP="003640FC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>Phosphodiesterases 4 and 10 inhibitor and a macrophage migration inhibitory factor inhibitor that suppresses proinflammatory cytokines</w:t>
            </w:r>
          </w:p>
        </w:tc>
        <w:tc>
          <w:tcPr>
            <w:tcW w:w="5670" w:type="dxa"/>
            <w:shd w:val="clear" w:color="auto" w:fill="auto"/>
          </w:tcPr>
          <w:p w:rsidR="003640FC" w:rsidRPr="001D45B9" w:rsidRDefault="003640FC" w:rsidP="00DC0C1D">
            <w:pPr>
              <w:snapToGrid w:val="0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45B9">
              <w:rPr>
                <w:rFonts w:ascii="Times New Roman" w:hAnsi="Times New Roman" w:cs="Times New Roman"/>
                <w:sz w:val="24"/>
                <w:szCs w:val="24"/>
              </w:rPr>
              <w:t xml:space="preserve">More data needed; occasional reports of GGT elevation noted with its </w:t>
            </w:r>
            <w:r w:rsidR="00DC0C1D" w:rsidRPr="001D45B9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DC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s7</w:t>
            </w:r>
          </w:p>
        </w:tc>
      </w:tr>
    </w:tbl>
    <w:p w:rsidR="00FC38A7" w:rsidRDefault="003640FC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B9">
        <w:rPr>
          <w:rFonts w:ascii="Times New Roman" w:hAnsi="Times New Roman" w:cs="Times New Roman"/>
          <w:sz w:val="24"/>
          <w:szCs w:val="24"/>
        </w:rPr>
        <w:t xml:space="preserve">AXL, anexelekto; CCR, chemokine receptor; EF1A, eukaryotic elongation factor 1A; GGT, gamma glutamyl </w:t>
      </w:r>
      <w:r w:rsidRPr="001D45B9">
        <w:rPr>
          <w:rFonts w:ascii="Times New Roman" w:eastAsia="Times New Roman" w:hAnsi="Times New Roman" w:cs="Times New Roman"/>
          <w:sz w:val="24"/>
          <w:szCs w:val="24"/>
        </w:rPr>
        <w:t>transpeptidase</w:t>
      </w:r>
      <w:r w:rsidRPr="001D45B9">
        <w:rPr>
          <w:rFonts w:ascii="Times New Roman" w:hAnsi="Times New Roman" w:cs="Times New Roman"/>
          <w:sz w:val="24"/>
          <w:szCs w:val="24"/>
        </w:rPr>
        <w:t>; IgG, immunoglobulin G; MIF, macrophage migration inhibitory factor.</w:t>
      </w:r>
      <w:bookmarkEnd w:id="0"/>
    </w:p>
    <w:p w:rsidR="00F87646" w:rsidRDefault="00F87646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46" w:rsidRDefault="00F87646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4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C19A2" w:rsidRPr="00D43A72" w:rsidRDefault="003562C3" w:rsidP="00F451F6">
      <w:pPr>
        <w:pStyle w:val="Reference"/>
      </w:pPr>
      <w:bookmarkStart w:id="1" w:name="_ENREF_103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1. </w:t>
      </w:r>
      <w:r w:rsidR="005C19A2" w:rsidRPr="00D43A72">
        <w:rPr>
          <w:shd w:val="clear" w:color="auto" w:fill="FFFFFF"/>
        </w:rPr>
        <w:t xml:space="preserve">Izquierdo MA, Bowman A, García M, Jodrell D, Martinez M, Pardo B, </w:t>
      </w:r>
      <w:r w:rsidR="005C19A2" w:rsidRPr="00D43A72">
        <w:rPr>
          <w:rFonts w:hint="eastAsia"/>
          <w:i/>
          <w:shd w:val="clear" w:color="auto" w:fill="FFFFFF"/>
          <w:lang w:eastAsia="zh-CN"/>
        </w:rPr>
        <w:t>et al</w:t>
      </w:r>
      <w:r w:rsidR="005C19A2" w:rsidRPr="00D43A72">
        <w:rPr>
          <w:shd w:val="clear" w:color="auto" w:fill="FFFFFF"/>
        </w:rPr>
        <w:t>. Phase I clinical and pharmacokinetic study of plitidepsin as a 1-hour weekly intravenous infusion in patients with advanced solid tumors. Clin Cancer Res 2008;14(10):3105-</w:t>
      </w:r>
      <w:r w:rsidR="005C19A2" w:rsidRPr="00D43A72">
        <w:rPr>
          <w:rFonts w:hint="eastAsia"/>
          <w:shd w:val="clear" w:color="auto" w:fill="FFFFFF"/>
          <w:lang w:eastAsia="zh-CN"/>
        </w:rPr>
        <w:t>30</w:t>
      </w:r>
      <w:r w:rsidR="005C19A2" w:rsidRPr="00D43A72">
        <w:rPr>
          <w:shd w:val="clear" w:color="auto" w:fill="FFFFFF"/>
        </w:rPr>
        <w:t>12. doi: 10.1158/1078-0432.CCR-07-1652</w:t>
      </w:r>
      <w:r w:rsidR="005C19A2" w:rsidRPr="00D43A72">
        <w:t>.</w:t>
      </w:r>
      <w:bookmarkEnd w:id="1"/>
    </w:p>
    <w:p w:rsidR="005C19A2" w:rsidRPr="00D43A72" w:rsidRDefault="003562C3" w:rsidP="00F451F6">
      <w:pPr>
        <w:pStyle w:val="Reference"/>
      </w:pPr>
      <w:bookmarkStart w:id="2" w:name="_ENREF_104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2. </w:t>
      </w:r>
      <w:r w:rsidR="005C19A2" w:rsidRPr="00D43A72">
        <w:rPr>
          <w:shd w:val="clear" w:color="auto" w:fill="FFFFFF"/>
        </w:rPr>
        <w:t>French JB, Bonacini M, Ghabril M, Foureau D, Bonkovsky HL. Hepatotoxicity associated with the use of anti-TNF-α agents. Drug Saf 2016;39(3):199-208. doi: 10.1007/s40264-015-0366-9</w:t>
      </w:r>
      <w:r w:rsidR="005C19A2" w:rsidRPr="00D43A72">
        <w:t>.</w:t>
      </w:r>
      <w:bookmarkEnd w:id="2"/>
    </w:p>
    <w:p w:rsidR="005C19A2" w:rsidRPr="00D43A72" w:rsidRDefault="003562C3" w:rsidP="00F451F6">
      <w:pPr>
        <w:pStyle w:val="Reference"/>
      </w:pPr>
      <w:bookmarkStart w:id="3" w:name="_ENREF_105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3. </w:t>
      </w:r>
      <w:r w:rsidR="005C19A2" w:rsidRPr="00D43A72">
        <w:rPr>
          <w:shd w:val="clear" w:color="auto" w:fill="FFFFFF"/>
        </w:rPr>
        <w:t>Wong F, Al Ibrahim B, Walsh J, Qumosani K. Infliximab-induced autoimmune hepatitis requiring liver transplantation. Clin Case Rep 2019;7(11):2135-2139. doi: 10.1002/ccr3.2456</w:t>
      </w:r>
      <w:r w:rsidR="005C19A2" w:rsidRPr="00D43A72">
        <w:t>.</w:t>
      </w:r>
      <w:bookmarkEnd w:id="3"/>
    </w:p>
    <w:p w:rsidR="005C19A2" w:rsidRPr="00D43A72" w:rsidRDefault="003562C3" w:rsidP="00F451F6">
      <w:pPr>
        <w:pStyle w:val="Reference"/>
      </w:pPr>
      <w:bookmarkStart w:id="4" w:name="_ENREF_106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4. </w:t>
      </w:r>
      <w:r w:rsidR="005C19A2" w:rsidRPr="00D43A72">
        <w:rPr>
          <w:shd w:val="clear" w:color="auto" w:fill="FFFFFF"/>
        </w:rPr>
        <w:t xml:space="preserve">Miyake Y, Hasebe A, Tanihira T, Shiraishi A, Imai Y, Tatsukawa H, </w:t>
      </w:r>
      <w:r w:rsidR="005C19A2" w:rsidRPr="00D43A72">
        <w:rPr>
          <w:rFonts w:hint="eastAsia"/>
          <w:i/>
          <w:shd w:val="clear" w:color="auto" w:fill="FFFFFF"/>
          <w:lang w:eastAsia="zh-CN"/>
        </w:rPr>
        <w:t>et al</w:t>
      </w:r>
      <w:r w:rsidR="005C19A2" w:rsidRPr="00D43A72">
        <w:rPr>
          <w:shd w:val="clear" w:color="auto" w:fill="FFFFFF"/>
        </w:rPr>
        <w:t>. Hepatitis B virus reactivation induced by infliximab administration in a patient with Crohn's disease. Case Reports Hepatol 2013;2013:461879. doi: 10.1155/2013/461879</w:t>
      </w:r>
      <w:r w:rsidR="005C19A2" w:rsidRPr="00D43A72">
        <w:t>.</w:t>
      </w:r>
      <w:bookmarkEnd w:id="4"/>
    </w:p>
    <w:p w:rsidR="005C19A2" w:rsidRPr="00D43A72" w:rsidRDefault="003562C3" w:rsidP="00F451F6">
      <w:pPr>
        <w:pStyle w:val="Reference"/>
      </w:pPr>
      <w:bookmarkStart w:id="5" w:name="_ENREF_107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5. </w:t>
      </w:r>
      <w:r w:rsidR="005C19A2" w:rsidRPr="00D43A72">
        <w:rPr>
          <w:shd w:val="clear" w:color="auto" w:fill="FFFFFF"/>
        </w:rPr>
        <w:t xml:space="preserve">Iwanaga N, Origuchi T, Terada K, Ueki Y, Kamo Y, Kinoshita N, </w:t>
      </w:r>
      <w:r w:rsidR="005C19A2" w:rsidRPr="00D43A72">
        <w:rPr>
          <w:rFonts w:hint="eastAsia"/>
          <w:i/>
          <w:shd w:val="clear" w:color="auto" w:fill="FFFFFF"/>
          <w:lang w:eastAsia="zh-CN"/>
        </w:rPr>
        <w:t>et al</w:t>
      </w:r>
      <w:r w:rsidR="005C19A2" w:rsidRPr="00D43A72">
        <w:rPr>
          <w:shd w:val="clear" w:color="auto" w:fill="FFFFFF"/>
        </w:rPr>
        <w:t>. Rheumatoid arthritis complicated with severe liver injury during treatment with abatacept. Mod Rheumatol 2014;24(5):874-</w:t>
      </w:r>
      <w:r w:rsidR="005C19A2" w:rsidRPr="00D43A72">
        <w:rPr>
          <w:rFonts w:hint="eastAsia"/>
          <w:shd w:val="clear" w:color="auto" w:fill="FFFFFF"/>
          <w:lang w:eastAsia="zh-CN"/>
        </w:rPr>
        <w:t>87</w:t>
      </w:r>
      <w:r w:rsidR="005C19A2" w:rsidRPr="00D43A72">
        <w:rPr>
          <w:shd w:val="clear" w:color="auto" w:fill="FFFFFF"/>
        </w:rPr>
        <w:t>6. doi: 10.3109/14397595.2013.844399</w:t>
      </w:r>
      <w:r w:rsidR="005C19A2" w:rsidRPr="00D43A72">
        <w:t>.</w:t>
      </w:r>
      <w:bookmarkEnd w:id="5"/>
    </w:p>
    <w:p w:rsidR="005C19A2" w:rsidRPr="00D43A72" w:rsidRDefault="003562C3" w:rsidP="00F451F6">
      <w:pPr>
        <w:pStyle w:val="Reference"/>
      </w:pPr>
      <w:bookmarkStart w:id="6" w:name="_ENREF_108"/>
      <w:r>
        <w:rPr>
          <w:shd w:val="clear" w:color="auto" w:fill="FFFFFF"/>
        </w:rPr>
        <w:t>s</w:t>
      </w:r>
      <w:r w:rsidR="00F451F6">
        <w:rPr>
          <w:shd w:val="clear" w:color="auto" w:fill="FFFFFF"/>
        </w:rPr>
        <w:t xml:space="preserve">6. </w:t>
      </w:r>
      <w:r w:rsidR="005C19A2" w:rsidRPr="00D43A72">
        <w:rPr>
          <w:shd w:val="clear" w:color="auto" w:fill="FFFFFF"/>
        </w:rPr>
        <w:t>Talotta R, Atzeni F, Sarzi Puttini P. Reactivation of occult hepatitis B virus infection under treatment with abatacept: a case report. BMC Pharmacol Toxicol 2016;17:17. doi: 10.1186/s40360-016-0060-2</w:t>
      </w:r>
      <w:r w:rsidR="005C19A2" w:rsidRPr="00D43A72">
        <w:t>.</w:t>
      </w:r>
      <w:bookmarkEnd w:id="6"/>
    </w:p>
    <w:p w:rsidR="005C19A2" w:rsidRPr="00D43A72" w:rsidRDefault="003562C3" w:rsidP="00F451F6">
      <w:pPr>
        <w:pStyle w:val="Reference"/>
      </w:pPr>
      <w:bookmarkStart w:id="7" w:name="_ENREF_109"/>
      <w:r>
        <w:rPr>
          <w:shd w:val="clear" w:color="auto" w:fill="FFFFFF"/>
        </w:rPr>
        <w:lastRenderedPageBreak/>
        <w:t>s</w:t>
      </w:r>
      <w:r w:rsidR="00F451F6">
        <w:rPr>
          <w:shd w:val="clear" w:color="auto" w:fill="FFFFFF"/>
        </w:rPr>
        <w:t xml:space="preserve">7. </w:t>
      </w:r>
      <w:r w:rsidR="005C19A2" w:rsidRPr="00D43A72">
        <w:rPr>
          <w:shd w:val="clear" w:color="auto" w:fill="FFFFFF"/>
        </w:rPr>
        <w:t xml:space="preserve">Rolan P, Gibbons JA, He L, Chang E, Jones D, Gross MI, </w:t>
      </w:r>
      <w:r w:rsidR="005C19A2" w:rsidRPr="00D43A72">
        <w:rPr>
          <w:rFonts w:hint="eastAsia"/>
          <w:i/>
          <w:shd w:val="clear" w:color="auto" w:fill="FFFFFF"/>
          <w:lang w:eastAsia="zh-CN"/>
        </w:rPr>
        <w:t>et al</w:t>
      </w:r>
      <w:r w:rsidR="005C19A2" w:rsidRPr="00D43A72">
        <w:rPr>
          <w:shd w:val="clear" w:color="auto" w:fill="FFFFFF"/>
        </w:rPr>
        <w:t>. Ibudilast in healthy volunteers: safety, tolerability and pharmacokinetics with single and multiple doses. Br J Clin Pharmacol 2008;66(6):792-801. doi: 10.1111/j.1365-2125.2008.03270.x</w:t>
      </w:r>
      <w:r w:rsidR="005C19A2" w:rsidRPr="00D43A72">
        <w:t>.</w:t>
      </w:r>
      <w:bookmarkEnd w:id="7"/>
    </w:p>
    <w:p w:rsidR="00F87646" w:rsidRDefault="00F87646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46" w:rsidRPr="00F87646" w:rsidRDefault="00F87646" w:rsidP="003640F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F87646" w:rsidRPr="00F87646" w:rsidSect="003640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0FC"/>
    <w:rsid w:val="001D45B9"/>
    <w:rsid w:val="003562C3"/>
    <w:rsid w:val="003640FC"/>
    <w:rsid w:val="003B5F9C"/>
    <w:rsid w:val="005C19A2"/>
    <w:rsid w:val="00A9645A"/>
    <w:rsid w:val="00D90DA1"/>
    <w:rsid w:val="00DC0C1D"/>
    <w:rsid w:val="00F451F6"/>
    <w:rsid w:val="00F87646"/>
    <w:rsid w:val="00F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FC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3640FC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Reference">
    <w:name w:val="Reference"/>
    <w:rsid w:val="005C19A2"/>
    <w:pPr>
      <w:ind w:left="357" w:hanging="357"/>
    </w:pPr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1D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FC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3640FC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835</Words>
  <Characters>4766</Characters>
  <Application>Microsoft Office Word</Application>
  <DocSecurity>0</DocSecurity>
  <Lines>39</Lines>
  <Paragraphs>11</Paragraphs>
  <ScaleCrop>false</ScaleCrop>
  <Company>HP Inc.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Robin Wei</cp:lastModifiedBy>
  <cp:revision>9</cp:revision>
  <dcterms:created xsi:type="dcterms:W3CDTF">2021-04-03T03:16:00Z</dcterms:created>
  <dcterms:modified xsi:type="dcterms:W3CDTF">2021-04-04T23:16:00Z</dcterms:modified>
</cp:coreProperties>
</file>