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EE" w:rsidRPr="00D759EE" w:rsidRDefault="00D759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59EE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D759EE">
        <w:rPr>
          <w:rFonts w:ascii="Times New Roman" w:eastAsia="Times New Roman" w:hAnsi="Times New Roman" w:cs="Times New Roman"/>
          <w:b/>
          <w:sz w:val="24"/>
          <w:szCs w:val="24"/>
        </w:rPr>
        <w:t xml:space="preserve"> Table 2. Summary of studies of pharmaceuticals used for the treatment of COVID-19</w:t>
      </w:r>
    </w:p>
    <w:tbl>
      <w:tblPr>
        <w:tblStyle w:val="TableGrid"/>
        <w:tblW w:w="14142" w:type="dxa"/>
        <w:tblLayout w:type="fixed"/>
        <w:tblLook w:val="04A0"/>
      </w:tblPr>
      <w:tblGrid>
        <w:gridCol w:w="1951"/>
        <w:gridCol w:w="709"/>
        <w:gridCol w:w="3118"/>
        <w:gridCol w:w="2694"/>
        <w:gridCol w:w="1701"/>
        <w:gridCol w:w="3969"/>
      </w:tblGrid>
      <w:tr w:rsidR="00D759EE" w:rsidRPr="00D759EE" w:rsidTr="00D759EE">
        <w:tc>
          <w:tcPr>
            <w:tcW w:w="195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b/>
                <w:sz w:val="24"/>
                <w:szCs w:val="24"/>
              </w:rPr>
              <w:t>Type of study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b/>
                <w:sz w:val="24"/>
                <w:szCs w:val="24"/>
              </w:rPr>
              <w:t>Severity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b/>
                <w:sz w:val="24"/>
                <w:szCs w:val="24"/>
              </w:rPr>
              <w:t>Study arms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9A5E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Boulware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E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s1</w:t>
            </w:r>
            <w:r w:rsidR="009A5E5E"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double-blind, placebo-controlled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Exposure to a confirmed case within 4 days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HCQ-50%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Placebo-50%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HCQ did not prevent infection when used as a post-exposure prophylaxis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Skipper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double-blind, placebo-controlled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Symptomatic non-hospitalized patient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HCQ-50%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Pacebo-50%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HCQ did not reduce symptom severity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Cao </w:t>
            </w:r>
            <w:r w:rsidRPr="00D75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3</w:t>
            </w:r>
            <w:r w:rsidR="00D46137"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(LOTUS CHINA)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Randomized, open label,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All severity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LPV/r- 99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No LPV/r- 100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 not show any decrease in time to clinical improvement, mortality or viral load after addition of LPV/r 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Beigel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4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(ACTT1 study)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double-blind, placebo-controlled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Lower respiratory tract involvement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RDV-51%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Placebo-49%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RDV shortened the time to recovery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Wang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5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double-blind placebo-controlled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Moderate/Severe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RDV-67%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Placebo-33%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RDV not associated with significant clinical improvement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Goldman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6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open label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Moderate/Severe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RDV 5-day-50%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RDV 10-day-50%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For patients not requiring mechanical ventilation, 5-day treatment is enough. For patients requiring mechanical ventilation, 10-day may be required.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Spinner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open label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RDV 5-day-33%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RDV 10-day-33%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SOC-34%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No difference in clinical outcomes between 10 d vs. SOC. Statistically significant improvement in clinical outcomes in 5 d vs. SOC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The RECOVERY collaborative </w:t>
            </w:r>
            <w:r w:rsidR="00D46137" w:rsidRPr="00D759E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8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open label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Hospitalized COVID patients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DEXA-33%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SOC-67%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Reduced mortality in those receiving oxygen therapy or mechanical ventilation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Retrospective observational cohort study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ICU patients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SOC-76%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TCZ-24%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TCZ showed a trend towards reduced mortality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 xml:space="preserve">Biran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Retrospective observational cohort study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ICU patients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SOC-73%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TCZ-27%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TCZ was associated with decreased mortality</w:t>
            </w:r>
          </w:p>
        </w:tc>
      </w:tr>
      <w:tr w:rsidR="00D759EE" w:rsidRPr="00D759EE" w:rsidTr="00D759EE">
        <w:tc>
          <w:tcPr>
            <w:tcW w:w="1951" w:type="dxa"/>
          </w:tcPr>
          <w:p w:rsidR="00D759EE" w:rsidRPr="00D759EE" w:rsidRDefault="00D759EE" w:rsidP="00D4613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Agarwal </w:t>
            </w:r>
            <w:r w:rsidRPr="00D759EE">
              <w:rPr>
                <w:rFonts w:ascii="Times New Roman" w:hAnsi="Times New Roman" w:cs="Times New Roman"/>
                <w:i/>
                <w:sz w:val="24"/>
                <w:szCs w:val="24"/>
              </w:rPr>
              <w:t>et al</w:t>
            </w: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s</w:t>
            </w:r>
            <w:r w:rsidR="00D461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11</w:t>
            </w:r>
          </w:p>
        </w:tc>
        <w:tc>
          <w:tcPr>
            <w:tcW w:w="709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118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Randomized, open label trial</w:t>
            </w:r>
          </w:p>
        </w:tc>
        <w:tc>
          <w:tcPr>
            <w:tcW w:w="2694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701" w:type="dxa"/>
          </w:tcPr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SOC-49%</w:t>
            </w:r>
          </w:p>
          <w:p w:rsidR="00D759EE" w:rsidRPr="00D759EE" w:rsidRDefault="00D759EE" w:rsidP="00D759E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59EE">
              <w:rPr>
                <w:rFonts w:ascii="Times New Roman" w:hAnsi="Times New Roman" w:cs="Times New Roman"/>
                <w:sz w:val="24"/>
                <w:szCs w:val="24"/>
              </w:rPr>
              <w:t>CP-51%</w:t>
            </w:r>
          </w:p>
        </w:tc>
        <w:tc>
          <w:tcPr>
            <w:tcW w:w="3969" w:type="dxa"/>
          </w:tcPr>
          <w:p w:rsidR="00D759EE" w:rsidRPr="00D759EE" w:rsidRDefault="00D759EE" w:rsidP="00D759E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9EE">
              <w:rPr>
                <w:rFonts w:ascii="Times New Roman" w:eastAsia="Times New Roman" w:hAnsi="Times New Roman" w:cs="Times New Roman"/>
                <w:sz w:val="24"/>
                <w:szCs w:val="24"/>
              </w:rPr>
              <w:t>CP not associated with reduction in progression or decreased mortality</w:t>
            </w:r>
          </w:p>
        </w:tc>
      </w:tr>
      <w:bookmarkEnd w:id="0"/>
    </w:tbl>
    <w:p w:rsidR="00D759EE" w:rsidRDefault="00D759EE"/>
    <w:p w:rsidR="009F309E" w:rsidRDefault="009F309E">
      <w:pPr>
        <w:rPr>
          <w:b/>
        </w:rPr>
      </w:pPr>
      <w:r w:rsidRPr="009F309E">
        <w:rPr>
          <w:b/>
        </w:rPr>
        <w:t>References</w:t>
      </w:r>
    </w:p>
    <w:p w:rsidR="00091669" w:rsidRDefault="00091669">
      <w:pPr>
        <w:rPr>
          <w:b/>
        </w:rPr>
      </w:pPr>
    </w:p>
    <w:p w:rsidR="006D65E9" w:rsidRPr="00D43A72" w:rsidRDefault="006D65E9" w:rsidP="00435CC8">
      <w:pPr>
        <w:pStyle w:val="Reference"/>
      </w:pPr>
      <w:bookmarkStart w:id="1" w:name="_ENREF_120"/>
      <w:bookmarkStart w:id="2" w:name="_ENREF_100"/>
      <w:bookmarkStart w:id="3" w:name="_ENREF_99"/>
      <w:bookmarkStart w:id="4" w:name="_ENREF_95"/>
      <w:bookmarkStart w:id="5" w:name="_ENREF_72"/>
      <w:bookmarkStart w:id="6" w:name="_ENREF_59"/>
      <w:bookmarkStart w:id="7" w:name="_ENREF_57"/>
      <w:bookmarkStart w:id="8" w:name="_ENREF_56"/>
      <w:bookmarkStart w:id="9" w:name="_ENREF_48"/>
      <w:bookmarkStart w:id="10" w:name="_ENREF_32"/>
      <w:r>
        <w:rPr>
          <w:shd w:val="clear" w:color="auto" w:fill="FFFFFF"/>
        </w:rPr>
        <w:t xml:space="preserve">s1. </w:t>
      </w:r>
      <w:r w:rsidRPr="00D43A72">
        <w:rPr>
          <w:shd w:val="clear" w:color="auto" w:fill="FFFFFF"/>
        </w:rPr>
        <w:t xml:space="preserve">Boulware DR, Pullen MF, Bangdiwala AS, Pastick KA, Lofgren SM, Okafor EC,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A randomized trial of hydroxychloroquine as postexposure prophylaxis for Covid-19. N Engl J Med 2020;383(6):517-525. doi: 10.1056/NEJMoa2016638</w:t>
      </w:r>
      <w:r w:rsidRPr="00D43A72">
        <w:t>.</w:t>
      </w:r>
      <w:bookmarkEnd w:id="10"/>
    </w:p>
    <w:bookmarkEnd w:id="7"/>
    <w:bookmarkEnd w:id="8"/>
    <w:bookmarkEnd w:id="9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2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Skipper CP, Pastick KA, Engen NW, Bangdiwala AS, Abassi M, Lofgren SM,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Hydroxychloroquine in nonhospitalized adults with early COVID-19 : A randomized trial. Ann Intern Med 2020;173(8):623-631. doi: 10.7326/M20-4207</w:t>
      </w:r>
      <w:r w:rsidRPr="00D43A72">
        <w:t>.</w:t>
      </w:r>
    </w:p>
    <w:bookmarkEnd w:id="6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3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Cao B, Wang Y, Wen D, Liu W, Wang J, Fan G,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A trial of lopinavir-ritonavir in adults hospitalized with severe Covid-19. N Engl J Med 2020;382(19):1787-1799. doi: 10.1056/NEJMoa2001282</w:t>
      </w:r>
      <w:r w:rsidRPr="00D43A72">
        <w:t>.</w:t>
      </w:r>
    </w:p>
    <w:bookmarkEnd w:id="5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4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Beigel JH, Tomashek KM, Dodd LE, Mehta AK, Zingman BS, Kalil AC,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Remdesivir for the treatment of Covid-19 - Final report. N Engl J Med 2020;383(19):1813-1826. doi: 10.1056/NEJMoa2007764</w:t>
      </w:r>
      <w:r w:rsidRPr="00D43A72">
        <w:t>.</w:t>
      </w:r>
    </w:p>
    <w:bookmarkEnd w:id="4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5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Wang Y, Zhang D, Du G, Du R, Zhao J, Jin Y,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Remdesivir in adults with severe COVID-19: a randomised, double-blind, placebo-controlled, multicentre trial. Lancet 2020;395(10236):1569-1578. doi: 10.1016/S0140-6736(20)31022-9</w:t>
      </w:r>
      <w:r w:rsidRPr="00D43A72">
        <w:t>.</w:t>
      </w:r>
    </w:p>
    <w:bookmarkEnd w:id="3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Goldman JD, Lye DCB, Hui DS, Marks KM, Bruno R, Montejano R,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Remdesivir for 5 or 10 days in patients with severe Covid-19. N Engl J Med 2020;383(19):1827-1837. doi: 10.1056/NEJMoa2015301</w:t>
      </w:r>
      <w:r w:rsidRPr="00D43A72">
        <w:t>.</w:t>
      </w:r>
    </w:p>
    <w:bookmarkEnd w:id="2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7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Spinner CD, Gottlieb RL, Criner GJ, Arribas López JR, Cattelan AM, Soriano Viladomiu A,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Effect of remdesivir vs standard care on clinical status at 11 days in patients with moderate COVID-19: A randomized clinical trial. JAMA 2020;324(11):1048-1057. doi: 10.1001/jama.2020.16349</w:t>
      </w:r>
      <w:r w:rsidRPr="00D43A72">
        <w:t>.</w:t>
      </w:r>
    </w:p>
    <w:bookmarkEnd w:id="1"/>
    <w:p w:rsidR="006D65E9" w:rsidRPr="00D43A72" w:rsidRDefault="006D65E9" w:rsidP="00435CC8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8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Horby P, Lim WS, Emberson JR, Mafham M, Bell JL, Linsell L,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Dexamethasone in hospitalized patients with Covid-19. N Engl J Med 2021;384(8):693-704. doi: 10.1056/NEJMoa2021436</w:t>
      </w:r>
      <w:r w:rsidRPr="00D43A72">
        <w:t>.</w:t>
      </w:r>
    </w:p>
    <w:p w:rsidR="006D65E9" w:rsidRPr="00D43A72" w:rsidRDefault="006D65E9" w:rsidP="00435CC8">
      <w:pPr>
        <w:pStyle w:val="Reference"/>
      </w:pPr>
      <w:bookmarkStart w:id="11" w:name="_ENREF_121"/>
      <w:r>
        <w:rPr>
          <w:shd w:val="clear" w:color="auto" w:fill="FFFFFF"/>
        </w:rPr>
        <w:t>s</w:t>
      </w:r>
      <w:r>
        <w:rPr>
          <w:shd w:val="clear" w:color="auto" w:fill="FFFFFF"/>
        </w:rPr>
        <w:t>9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Ip A, Berry DA, Hansen E, Goy AH, Pecora AL, Sinclaire BA,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Hydroxychloroquine and tocilizumab therapy in COVID-19 patients-An observational study. PLoS One 2020;15(8):e0237693. doi: 10.1371/journal.pone.0237693</w:t>
      </w:r>
      <w:r w:rsidRPr="00D43A72">
        <w:t>.</w:t>
      </w:r>
      <w:bookmarkEnd w:id="11"/>
    </w:p>
    <w:p w:rsidR="006D65E9" w:rsidRPr="00D43A72" w:rsidRDefault="006D65E9" w:rsidP="006D65E9">
      <w:pPr>
        <w:pStyle w:val="Reference"/>
      </w:pPr>
      <w:r>
        <w:rPr>
          <w:shd w:val="clear" w:color="auto" w:fill="FFFFFF"/>
        </w:rPr>
        <w:t>s</w:t>
      </w:r>
      <w:r>
        <w:rPr>
          <w:shd w:val="clear" w:color="auto" w:fill="FFFFFF"/>
        </w:rPr>
        <w:t>10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 xml:space="preserve">Biran N, Ip A, Ahn J, Go RC, Wang S, Mathura S, </w:t>
      </w:r>
      <w:r w:rsidRPr="00D43A72">
        <w:rPr>
          <w:rFonts w:hint="eastAsia"/>
          <w:i/>
          <w:shd w:val="clear" w:color="auto" w:fill="FFFFFF"/>
          <w:lang w:eastAsia="zh-CN"/>
        </w:rPr>
        <w:t>et al</w:t>
      </w:r>
      <w:r w:rsidRPr="00D43A72">
        <w:rPr>
          <w:shd w:val="clear" w:color="auto" w:fill="FFFFFF"/>
        </w:rPr>
        <w:t>. Tocilizumab among patients with COVID-19 in the intensive care unit: a multicentre observational study. Lancet Rheumatol 2020;2(10):e603-e612. doi: 10.1016/S2665-9913(20)30277-0</w:t>
      </w:r>
      <w:r w:rsidRPr="00D43A72">
        <w:t>.</w:t>
      </w:r>
    </w:p>
    <w:p w:rsidR="006D65E9" w:rsidRPr="00D43A72" w:rsidRDefault="006D65E9" w:rsidP="006D65E9">
      <w:pPr>
        <w:pStyle w:val="Reference"/>
      </w:pPr>
      <w:r>
        <w:rPr>
          <w:shd w:val="clear" w:color="auto" w:fill="FFFFFF"/>
        </w:rPr>
        <w:lastRenderedPageBreak/>
        <w:t>s</w:t>
      </w:r>
      <w:r>
        <w:rPr>
          <w:shd w:val="clear" w:color="auto" w:fill="FFFFFF"/>
        </w:rPr>
        <w:t>11</w:t>
      </w:r>
      <w:r>
        <w:rPr>
          <w:shd w:val="clear" w:color="auto" w:fill="FFFFFF"/>
        </w:rPr>
        <w:t xml:space="preserve">. </w:t>
      </w:r>
      <w:r w:rsidRPr="00D43A72">
        <w:rPr>
          <w:shd w:val="clear" w:color="auto" w:fill="FFFFFF"/>
        </w:rPr>
        <w:t>Agarwal A, Mukherjee A, Kumar G, Chatterjee P, Bhatnagar T, Malhotra P. Convalescent plasma in the management of moderate covid-19 in adults in India: open label phase II multicentre randomised controlled trial (PLACID Trial). BMJ 2020;371:m3939. doi: 10.1136/bmj.m3939</w:t>
      </w:r>
      <w:r w:rsidRPr="00D43A72">
        <w:t>.</w:t>
      </w:r>
    </w:p>
    <w:p w:rsidR="00091669" w:rsidRPr="009F309E" w:rsidRDefault="00091669">
      <w:pPr>
        <w:rPr>
          <w:b/>
        </w:rPr>
      </w:pPr>
    </w:p>
    <w:sectPr w:rsidR="00091669" w:rsidRPr="009F309E" w:rsidSect="00D759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59EE"/>
    <w:rsid w:val="00091669"/>
    <w:rsid w:val="00131181"/>
    <w:rsid w:val="001F71D0"/>
    <w:rsid w:val="00416C1B"/>
    <w:rsid w:val="00435CC8"/>
    <w:rsid w:val="005A4303"/>
    <w:rsid w:val="006D3647"/>
    <w:rsid w:val="006D65E9"/>
    <w:rsid w:val="006D7504"/>
    <w:rsid w:val="007A387C"/>
    <w:rsid w:val="0097023C"/>
    <w:rsid w:val="009A5E5E"/>
    <w:rsid w:val="009E4662"/>
    <w:rsid w:val="009F309E"/>
    <w:rsid w:val="00A1794F"/>
    <w:rsid w:val="00A8725D"/>
    <w:rsid w:val="00C27598"/>
    <w:rsid w:val="00CD3237"/>
    <w:rsid w:val="00D46137"/>
    <w:rsid w:val="00D64F7A"/>
    <w:rsid w:val="00D759EE"/>
    <w:rsid w:val="00DA6AA1"/>
    <w:rsid w:val="00FC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A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9EE"/>
    <w:rPr>
      <w:kern w:val="0"/>
      <w:sz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rsid w:val="00416C1B"/>
    <w:pPr>
      <w:ind w:left="357" w:hanging="357"/>
    </w:pPr>
    <w:rPr>
      <w:rFonts w:ascii="Times New Roman" w:eastAsia="宋体" w:hAnsi="Times New Roman" w:cs="Times New Roman"/>
      <w:kern w:val="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9EE"/>
    <w:rPr>
      <w:kern w:val="0"/>
      <w:sz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696</Words>
  <Characters>3968</Characters>
  <Application>Microsoft Office Word</Application>
  <DocSecurity>0</DocSecurity>
  <Lines>33</Lines>
  <Paragraphs>9</Paragraphs>
  <ScaleCrop>false</ScaleCrop>
  <Company>HP Inc.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Robin Wei</cp:lastModifiedBy>
  <cp:revision>21</cp:revision>
  <dcterms:created xsi:type="dcterms:W3CDTF">2021-04-03T02:57:00Z</dcterms:created>
  <dcterms:modified xsi:type="dcterms:W3CDTF">2021-04-04T23:10:00Z</dcterms:modified>
</cp:coreProperties>
</file>