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50" w:rsidRPr="007A1591" w:rsidRDefault="001D2D50" w:rsidP="001D2D50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kn-IN"/>
        </w:rPr>
      </w:pPr>
      <w:r w:rsidRPr="007A1591">
        <w:rPr>
          <w:rFonts w:ascii="Times New Roman" w:hAnsi="Times New Roman" w:cs="Times New Roman"/>
          <w:b/>
          <w:sz w:val="24"/>
          <w:szCs w:val="24"/>
        </w:rPr>
        <w:t>Supplementary T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bidi="kn-IN"/>
        </w:rPr>
        <w:t>able 1. Details of drugs used in the management of COVID-19</w:t>
      </w:r>
    </w:p>
    <w:tbl>
      <w:tblPr>
        <w:tblW w:w="14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2693"/>
        <w:gridCol w:w="1318"/>
        <w:gridCol w:w="2510"/>
        <w:gridCol w:w="2976"/>
        <w:gridCol w:w="2736"/>
      </w:tblGrid>
      <w:tr w:rsidR="007A1591" w:rsidRPr="007A1591" w:rsidTr="0025363C"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Drugs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Dosing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Indication</w:t>
            </w:r>
          </w:p>
        </w:tc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Adverse effects</w:t>
            </w:r>
          </w:p>
        </w:tc>
      </w:tr>
      <w:tr w:rsidR="007A1591" w:rsidRPr="007A1591" w:rsidTr="0025363C"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Normal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Renal impairment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kn-IN"/>
              </w:rPr>
              <w:t>Hepatic impairment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</w:p>
        </w:tc>
        <w:tc>
          <w:tcPr>
            <w:tcW w:w="27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</w:p>
        </w:tc>
      </w:tr>
      <w:tr w:rsidR="007A1591" w:rsidRPr="007A1591" w:rsidTr="0025363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603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HCQ</w:t>
            </w:r>
            <w:r w:rsidR="00C04A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s1</w:t>
            </w: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,</w:t>
            </w:r>
            <w:r w:rsidR="006032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</w:t>
            </w:r>
            <w:r w:rsidR="006032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400 mg BD- day 1 </w:t>
            </w:r>
          </w:p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200 mg BD days 2-5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No dosage adjustment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-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QT prolongation, retinopathy</w:t>
            </w:r>
          </w:p>
        </w:tc>
      </w:tr>
      <w:tr w:rsidR="007A1591" w:rsidRPr="007A1591" w:rsidTr="0025363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603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LPV/r</w:t>
            </w:r>
            <w:r w:rsidRPr="007A1591" w:rsidDel="002D13BF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 </w:t>
            </w:r>
            <w:r w:rsidR="006032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</w:t>
            </w:r>
            <w:r w:rsidR="006032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400/100 BD for 14 days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No dosage adjustment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-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GI effects, transaminitis</w:t>
            </w:r>
          </w:p>
        </w:tc>
      </w:tr>
      <w:tr w:rsidR="007A1591" w:rsidRPr="007A1591" w:rsidTr="0025363C">
        <w:trPr>
          <w:trHeight w:val="1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60324E" w:rsidP="006032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RDV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200 mg q24 h- day 1 </w:t>
            </w:r>
          </w:p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100 mg q24 h-days 2-5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Avoid </w:t>
            </w:r>
            <w:bookmarkStart w:id="0" w:name="_GoBack"/>
            <w:bookmarkEnd w:id="0"/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in CCr &lt;30 mL/m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Avoid if elevated transaminases (&gt;5 ULN)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Any patient requiring oxygen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Hepatic and renal impairment</w:t>
            </w:r>
          </w:p>
        </w:tc>
      </w:tr>
      <w:tr w:rsidR="007A1591" w:rsidRPr="007A1591" w:rsidTr="0025363C">
        <w:trPr>
          <w:trHeight w:val="1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60324E" w:rsidP="00603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TCZ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8 mg/kg-over 1 h</w:t>
            </w:r>
          </w:p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The dose may be repeated after 12 h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No dosage adjustment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Avoid if elevated transaminases (&gt;5 ULN)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Severe or life-threatening disease with increased IL-6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Hepatic impairment</w:t>
            </w:r>
          </w:p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Secondary infections</w:t>
            </w:r>
          </w:p>
        </w:tc>
      </w:tr>
      <w:tr w:rsidR="007A1591" w:rsidRPr="007A1591" w:rsidTr="0025363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60324E" w:rsidP="00603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DEXA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6</w:t>
            </w:r>
            <w:r w:rsidR="001D2D50" w:rsidRPr="007A15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 w:bidi="kn-IN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 w:bidi="kn-IN"/>
              </w:rPr>
              <w:t>7</w:t>
            </w: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6 mg/day for 10 days 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No dosage adjustments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Any patient requiring oxygen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Adrenal suppression, hyperglycemia, GI effects</w:t>
            </w:r>
          </w:p>
        </w:tc>
      </w:tr>
      <w:tr w:rsidR="007A1591" w:rsidRPr="007A1591" w:rsidTr="0025363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60324E" w:rsidP="00603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CP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500 mL (250 mL on 2 days)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No dosage adjustments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Severe or life-threatening disease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Transfusion-related reactions</w:t>
            </w:r>
          </w:p>
        </w:tc>
      </w:tr>
      <w:tr w:rsidR="007A1591" w:rsidRPr="007A1591" w:rsidTr="0025363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04A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Bamlanivimab</w:t>
            </w:r>
            <w:r w:rsidR="00C04A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kn-IN"/>
              </w:rPr>
              <w:t>s9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700 mg intravenous single dose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No dosage adjustments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Hospitalized patients not requiring oxygen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50" w:rsidRPr="007A1591" w:rsidRDefault="001D2D50" w:rsidP="00CE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Hypersensitivity reactions</w:t>
            </w:r>
          </w:p>
        </w:tc>
      </w:tr>
    </w:tbl>
    <w:p w:rsidR="00FC38A7" w:rsidRDefault="001D2D50" w:rsidP="001D2D50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BD, twice daily; </w:t>
      </w:r>
      <w:r w:rsidR="00A65E4F" w:rsidRPr="007A1591">
        <w:rPr>
          <w:rFonts w:ascii="Times New Roman" w:eastAsia="Times New Roman" w:hAnsi="Times New Roman" w:cs="Times New Roman"/>
          <w:sz w:val="24"/>
          <w:szCs w:val="24"/>
        </w:rPr>
        <w:t>CP, convalescent plasma</w:t>
      </w:r>
      <w:r w:rsidR="00A65E4F" w:rsidRPr="007A159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; </w:t>
      </w:r>
      <w:r w:rsidRPr="007A1591">
        <w:rPr>
          <w:rFonts w:ascii="Times New Roman" w:hAnsi="Times New Roman" w:cs="Times New Roman"/>
          <w:sz w:val="24"/>
          <w:szCs w:val="24"/>
        </w:rPr>
        <w:t>GI, gastrointestinal</w:t>
      </w:r>
      <w:r w:rsidR="00A65E4F" w:rsidRPr="007A159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; </w:t>
      </w:r>
      <w:r w:rsidR="00A65E4F" w:rsidRPr="007A1591">
        <w:rPr>
          <w:rFonts w:ascii="Times New Roman" w:hAnsi="Times New Roman" w:cs="Times New Roman"/>
          <w:sz w:val="24"/>
          <w:szCs w:val="24"/>
        </w:rPr>
        <w:t>HCQ,</w:t>
      </w:r>
      <w:r w:rsidR="00A65E4F" w:rsidRPr="007A1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E4F" w:rsidRPr="007A1591">
        <w:rPr>
          <w:rFonts w:ascii="Times New Roman" w:eastAsia="Times New Roman" w:hAnsi="Times New Roman" w:cs="Times New Roman"/>
          <w:sz w:val="24"/>
          <w:szCs w:val="24"/>
        </w:rPr>
        <w:t>hydroxychloroquine</w:t>
      </w:r>
      <w:r w:rsidR="00A65E4F" w:rsidRPr="007A1591"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="00A65E4F" w:rsidRPr="007A1591">
        <w:rPr>
          <w:rFonts w:ascii="Times New Roman" w:hAnsi="Times New Roman" w:cs="Times New Roman"/>
          <w:sz w:val="24"/>
          <w:szCs w:val="24"/>
        </w:rPr>
        <w:t xml:space="preserve"> LPV/r, lopinavir/ritonavir</w:t>
      </w:r>
      <w:r w:rsidR="00A65E4F" w:rsidRPr="007A1591"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="00A65E4F" w:rsidRPr="007A1591">
        <w:rPr>
          <w:rFonts w:ascii="Times New Roman" w:hAnsi="Times New Roman" w:cs="Times New Roman"/>
          <w:sz w:val="24"/>
          <w:szCs w:val="24"/>
        </w:rPr>
        <w:t xml:space="preserve"> RDV, remdesivir</w:t>
      </w:r>
      <w:r w:rsidR="00A65E4F" w:rsidRPr="007A1591"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  <w:r w:rsidR="00A65E4F" w:rsidRPr="007A1591">
        <w:rPr>
          <w:rFonts w:ascii="Times New Roman" w:hAnsi="Times New Roman" w:cs="Times New Roman"/>
          <w:sz w:val="24"/>
          <w:szCs w:val="24"/>
        </w:rPr>
        <w:t xml:space="preserve"> TCZ, tocilizumab</w:t>
      </w:r>
      <w:r w:rsidRPr="007A1591">
        <w:rPr>
          <w:rFonts w:ascii="Times New Roman" w:hAnsi="Times New Roman" w:cs="Times New Roman"/>
          <w:sz w:val="24"/>
          <w:szCs w:val="24"/>
        </w:rPr>
        <w:t>.</w:t>
      </w:r>
    </w:p>
    <w:p w:rsidR="00726126" w:rsidRPr="0032366D" w:rsidRDefault="001E1222" w:rsidP="001D2D50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6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C4B0C" w:rsidRPr="00D43A72" w:rsidRDefault="006C4B0C" w:rsidP="0032366D">
      <w:pPr>
        <w:pStyle w:val="Reference"/>
      </w:pPr>
      <w:bookmarkStart w:id="1" w:name="_ENREF_29"/>
      <w:r>
        <w:rPr>
          <w:shd w:val="clear" w:color="auto" w:fill="FFFFFF"/>
        </w:rPr>
        <w:t xml:space="preserve">s1. </w:t>
      </w:r>
      <w:r w:rsidRPr="00D43A72">
        <w:rPr>
          <w:shd w:val="clear" w:color="auto" w:fill="FFFFFF"/>
        </w:rPr>
        <w:t>Satarker S, Ahuja T, Banerjee M, Vignesh Balaji</w:t>
      </w:r>
      <w:r w:rsidRPr="00D43A72">
        <w:rPr>
          <w:rFonts w:hint="eastAsia"/>
          <w:shd w:val="clear" w:color="auto" w:fill="FFFFFF"/>
          <w:lang w:eastAsia="zh-CN"/>
        </w:rPr>
        <w:t xml:space="preserve"> </w:t>
      </w:r>
      <w:r w:rsidRPr="00D43A72">
        <w:rPr>
          <w:shd w:val="clear" w:color="auto" w:fill="FFFFFF"/>
        </w:rPr>
        <w:t xml:space="preserve">E, Dogra S, Agarwal T,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Hydroxychloroquine in COVID-19: Potential Mechanism of Action Against SARS-CoV-2. Curr Pharmacol Rep 2020:1-9. doi: 10.1007/s40495-020-00231-8.</w:t>
      </w:r>
      <w:bookmarkEnd w:id="1"/>
    </w:p>
    <w:p w:rsidR="006C4B0C" w:rsidRPr="00D43A72" w:rsidRDefault="006C4B0C" w:rsidP="0032366D">
      <w:pPr>
        <w:pStyle w:val="Reference"/>
      </w:pPr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2. </w:t>
      </w:r>
      <w:r w:rsidRPr="00D43A72">
        <w:rPr>
          <w:shd w:val="clear" w:color="auto" w:fill="FFFFFF"/>
        </w:rPr>
        <w:t xml:space="preserve">Skipper CP, Pastick KA, Engen NW, Bangdiwala AS, Abassi M, Lofgren SM,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Hydroxychloroquine in nonhospitalized adults with early COVID-19 : A randomized trial. Ann Intern Med 2020;173(8):623-631. doi: 10.7326/M20-4207</w:t>
      </w:r>
      <w:r w:rsidRPr="00D43A72">
        <w:t>.</w:t>
      </w:r>
    </w:p>
    <w:p w:rsidR="006C4B0C" w:rsidRPr="00D43A72" w:rsidRDefault="006C4B0C" w:rsidP="0032366D">
      <w:pPr>
        <w:pStyle w:val="Reference"/>
      </w:pPr>
      <w:bookmarkStart w:id="2" w:name="_ENREF_47"/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3. </w:t>
      </w:r>
      <w:r w:rsidRPr="00D43A72">
        <w:rPr>
          <w:shd w:val="clear" w:color="auto" w:fill="FFFFFF"/>
        </w:rPr>
        <w:t>Lopinavir-ritonavir in patients admitted to hospital with COVID-19 (RECOVERY): a randomised, controlled, open-label, platform trial. Lancet 2020;396(10259):1345–</w:t>
      </w:r>
      <w:r w:rsidRPr="00D43A72">
        <w:rPr>
          <w:rFonts w:hint="eastAsia"/>
          <w:shd w:val="clear" w:color="auto" w:fill="FFFFFF"/>
          <w:lang w:eastAsia="zh-CN"/>
        </w:rPr>
        <w:t>13</w:t>
      </w:r>
      <w:r w:rsidRPr="00D43A72">
        <w:rPr>
          <w:shd w:val="clear" w:color="auto" w:fill="FFFFFF"/>
        </w:rPr>
        <w:t>52. doi: 10.1016/S0140-6736(20)32013-4</w:t>
      </w:r>
      <w:r w:rsidRPr="00D43A72">
        <w:t>.</w:t>
      </w:r>
      <w:bookmarkEnd w:id="2"/>
    </w:p>
    <w:p w:rsidR="006C4B0C" w:rsidRPr="00D43A72" w:rsidRDefault="006C4B0C" w:rsidP="0032366D">
      <w:pPr>
        <w:pStyle w:val="Reference"/>
      </w:pPr>
      <w:bookmarkStart w:id="3" w:name="_ENREF_57"/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4. </w:t>
      </w:r>
      <w:r w:rsidRPr="00D43A72">
        <w:rPr>
          <w:shd w:val="clear" w:color="auto" w:fill="FFFFFF"/>
        </w:rPr>
        <w:t xml:space="preserve">Wang Y, Zhang D, Du G, Du R, Zhao J, Jin Y,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Remdesivir in adults with severe COVID-19: a randomised, double-blind, placebo-controlled, multicentre trial. Lancet 2020;395(10236):1569-1578. doi: 10.1016/S0140-6736(20)31022-9</w:t>
      </w:r>
      <w:r w:rsidRPr="00D43A72">
        <w:t>.</w:t>
      </w:r>
      <w:bookmarkEnd w:id="3"/>
    </w:p>
    <w:p w:rsidR="006C4B0C" w:rsidRPr="00D43A72" w:rsidRDefault="006C4B0C" w:rsidP="0032366D">
      <w:pPr>
        <w:pStyle w:val="Reference"/>
      </w:pPr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5. </w:t>
      </w:r>
      <w:r w:rsidRPr="00D43A72">
        <w:rPr>
          <w:shd w:val="clear" w:color="auto" w:fill="FFFFFF"/>
        </w:rPr>
        <w:t xml:space="preserve">Biran N, Ip A, Ahn J, Go RC, Wang S, Mathura S,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Tocilizumab among patients with COVID-19 in the intensive care unit: a multicentre observational study. Lancet Rheumatol 2020;2(10):e603-e612. doi: 10.1016/S2665-9913(20)30277-0</w:t>
      </w:r>
      <w:r w:rsidRPr="00D43A72">
        <w:t>.</w:t>
      </w:r>
    </w:p>
    <w:p w:rsidR="006C4B0C" w:rsidRPr="00D43A72" w:rsidRDefault="006C4B0C" w:rsidP="0032366D">
      <w:pPr>
        <w:pStyle w:val="Reference"/>
      </w:pPr>
      <w:bookmarkStart w:id="4" w:name="_ENREF_72"/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6. </w:t>
      </w:r>
      <w:r w:rsidRPr="00D43A72">
        <w:rPr>
          <w:shd w:val="clear" w:color="auto" w:fill="FFFFFF"/>
        </w:rPr>
        <w:t xml:space="preserve">Horby P, Lim WS, Emberson JR, Mafham M, Bell JL, Linsell L,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Dexamethasone in hospitalized patients with Covid-19. N Engl J Med 2021;384(8):693-704. doi: 10.1056/NEJMoa2021436</w:t>
      </w:r>
      <w:r w:rsidRPr="00D43A72">
        <w:t>.</w:t>
      </w:r>
      <w:bookmarkEnd w:id="4"/>
    </w:p>
    <w:p w:rsidR="006C4B0C" w:rsidRPr="00D43A72" w:rsidRDefault="006C4B0C" w:rsidP="0032366D">
      <w:pPr>
        <w:pStyle w:val="Reference"/>
      </w:pPr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7. </w:t>
      </w:r>
      <w:r w:rsidRPr="00D43A72">
        <w:rPr>
          <w:shd w:val="clear" w:color="auto" w:fill="FFFFFF"/>
        </w:rPr>
        <w:t xml:space="preserve">Sterne JAC, Murthy S, Diaz JV, Slutsky AS, Villar J, Angus DC,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Association between administration of systemic corticosteroids and mortality among critically ill patients with COVID-19: A meta-analysis. JAMA 2020;324(13):1330-1341. doi: 10.1001/jama.2020.17023</w:t>
      </w:r>
      <w:r w:rsidRPr="00D43A72">
        <w:t>.</w:t>
      </w:r>
    </w:p>
    <w:p w:rsidR="006C4B0C" w:rsidRPr="00D43A72" w:rsidRDefault="006C4B0C" w:rsidP="0032366D">
      <w:pPr>
        <w:pStyle w:val="Reference"/>
      </w:pPr>
      <w:bookmarkStart w:id="5" w:name="_ENREF_94"/>
      <w:r>
        <w:rPr>
          <w:shd w:val="clear" w:color="auto" w:fill="FFFFFF"/>
        </w:rPr>
        <w:t>s</w:t>
      </w:r>
      <w:r>
        <w:rPr>
          <w:shd w:val="clear" w:color="auto" w:fill="FFFFFF"/>
        </w:rPr>
        <w:t xml:space="preserve">8. </w:t>
      </w:r>
      <w:r w:rsidRPr="00D43A72">
        <w:rPr>
          <w:shd w:val="clear" w:color="auto" w:fill="FFFFFF"/>
        </w:rPr>
        <w:t xml:space="preserve">Altuntas F, Ata N, Yigenoglu TN, Bascı S, Dal MS, Korkmaz S,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Convalescent plasma therapy in patients with COVID-19. Transfus Apher Sci 2021;60(1):102955. doi: 10.1016/j.transci.2020.102955</w:t>
      </w:r>
      <w:r w:rsidRPr="00D43A72">
        <w:t>.</w:t>
      </w:r>
      <w:bookmarkEnd w:id="5"/>
    </w:p>
    <w:p w:rsidR="006C4B0C" w:rsidRPr="00D43A72" w:rsidRDefault="006C4B0C" w:rsidP="0032366D">
      <w:pPr>
        <w:pStyle w:val="Reference"/>
      </w:pPr>
      <w:r>
        <w:rPr>
          <w:shd w:val="clear" w:color="auto" w:fill="FFFFFF"/>
        </w:rPr>
        <w:t xml:space="preserve">s9. </w:t>
      </w:r>
      <w:r w:rsidRPr="00D43A72">
        <w:rPr>
          <w:shd w:val="clear" w:color="auto" w:fill="FFFFFF"/>
        </w:rPr>
        <w:t xml:space="preserve">Gottlieb RL, Nirula A, Chen P, Boscia J, Heller B, Morris J, </w:t>
      </w:r>
      <w:r w:rsidRPr="00D43A72">
        <w:rPr>
          <w:rFonts w:hint="eastAsia"/>
          <w:i/>
          <w:shd w:val="clear" w:color="auto" w:fill="FFFFFF"/>
          <w:lang w:eastAsia="zh-CN"/>
        </w:rPr>
        <w:t>et al</w:t>
      </w:r>
      <w:r w:rsidRPr="00D43A72">
        <w:rPr>
          <w:shd w:val="clear" w:color="auto" w:fill="FFFFFF"/>
        </w:rPr>
        <w:t>. Effect of bamlanivimab as monotherapy or in combination with etesevimab on viral load in patients with mild to moderate COVID-19: A randomized clinical trial. JAMA 2021;325(7):632-644. doi: 10.1001/jama.2021.0202</w:t>
      </w:r>
      <w:r w:rsidRPr="00D43A72">
        <w:t>.</w:t>
      </w:r>
    </w:p>
    <w:sectPr w:rsidR="006C4B0C" w:rsidRPr="00D43A72" w:rsidSect="001D2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4A" w:rsidRDefault="0053004A" w:rsidP="007A1591">
      <w:pPr>
        <w:spacing w:after="0" w:line="240" w:lineRule="auto"/>
      </w:pPr>
      <w:r>
        <w:separator/>
      </w:r>
    </w:p>
  </w:endnote>
  <w:endnote w:type="continuationSeparator" w:id="1">
    <w:p w:rsidR="0053004A" w:rsidRDefault="0053004A" w:rsidP="007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4A" w:rsidRDefault="0053004A" w:rsidP="007A1591">
      <w:pPr>
        <w:spacing w:after="0" w:line="240" w:lineRule="auto"/>
      </w:pPr>
      <w:r>
        <w:separator/>
      </w:r>
    </w:p>
  </w:footnote>
  <w:footnote w:type="continuationSeparator" w:id="1">
    <w:p w:rsidR="0053004A" w:rsidRDefault="0053004A" w:rsidP="007A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D50"/>
    <w:rsid w:val="000D236E"/>
    <w:rsid w:val="00167D3F"/>
    <w:rsid w:val="001D2D50"/>
    <w:rsid w:val="001E1222"/>
    <w:rsid w:val="0025363C"/>
    <w:rsid w:val="0032366D"/>
    <w:rsid w:val="00387B22"/>
    <w:rsid w:val="0053004A"/>
    <w:rsid w:val="0060308E"/>
    <w:rsid w:val="0060324E"/>
    <w:rsid w:val="00635E94"/>
    <w:rsid w:val="006C4B0C"/>
    <w:rsid w:val="006F2029"/>
    <w:rsid w:val="00726126"/>
    <w:rsid w:val="007A1591"/>
    <w:rsid w:val="007C3AB8"/>
    <w:rsid w:val="0085181B"/>
    <w:rsid w:val="00A010CC"/>
    <w:rsid w:val="00A65E4F"/>
    <w:rsid w:val="00C04A0C"/>
    <w:rsid w:val="00D27EEA"/>
    <w:rsid w:val="00D37DDB"/>
    <w:rsid w:val="00F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50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1591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15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1591"/>
    <w:rPr>
      <w:kern w:val="0"/>
      <w:sz w:val="18"/>
      <w:szCs w:val="18"/>
      <w:lang w:eastAsia="en-US"/>
    </w:rPr>
  </w:style>
  <w:style w:type="paragraph" w:customStyle="1" w:styleId="Reference">
    <w:name w:val="Reference"/>
    <w:rsid w:val="0085181B"/>
    <w:pPr>
      <w:ind w:left="357" w:hanging="357"/>
    </w:pPr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E"/>
    <w:rPr>
      <w:rFonts w:ascii="Tahoma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50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591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7A15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591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Robin Wei</cp:lastModifiedBy>
  <cp:revision>17</cp:revision>
  <dcterms:created xsi:type="dcterms:W3CDTF">2021-04-03T02:52:00Z</dcterms:created>
  <dcterms:modified xsi:type="dcterms:W3CDTF">2021-04-04T22:58:00Z</dcterms:modified>
</cp:coreProperties>
</file>