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FA" w:rsidRPr="00CA0CC7" w:rsidRDefault="00B415FA" w:rsidP="00B415FA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342" w:type="dxa"/>
        <w:tblInd w:w="-709" w:type="dxa"/>
        <w:tblLook w:val="04A0"/>
      </w:tblPr>
      <w:tblGrid>
        <w:gridCol w:w="6379"/>
        <w:gridCol w:w="6963"/>
      </w:tblGrid>
      <w:tr w:rsidR="00B415FA" w:rsidRPr="00DE3A34" w:rsidTr="00B502DF">
        <w:trPr>
          <w:trHeight w:val="483"/>
        </w:trPr>
        <w:tc>
          <w:tcPr>
            <w:tcW w:w="1334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Supplementary </w:t>
            </w:r>
            <w:r w:rsidRPr="00CA0CC7">
              <w:rPr>
                <w:b/>
                <w:bCs/>
                <w:sz w:val="24"/>
                <w:szCs w:val="24"/>
                <w:lang w:val="en-US"/>
              </w:rPr>
              <w:t>Table 1. Summary of the complete Circos graphical output grouped according to clinical and investigation variables</w:t>
            </w:r>
          </w:p>
        </w:tc>
      </w:tr>
      <w:tr w:rsidR="00B415FA" w:rsidRPr="00DE3A34" w:rsidTr="00B502DF">
        <w:trPr>
          <w:trHeight w:val="483"/>
        </w:trPr>
        <w:tc>
          <w:tcPr>
            <w:tcW w:w="6379" w:type="dxa"/>
            <w:shd w:val="clear" w:color="auto" w:fill="F2F2F2" w:themeFill="background1" w:themeFillShade="F2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CA0CC7">
              <w:rPr>
                <w:b/>
                <w:bCs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6963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CA0CC7">
              <w:rPr>
                <w:b/>
                <w:bCs/>
                <w:sz w:val="24"/>
                <w:szCs w:val="24"/>
                <w:lang w:val="en-US"/>
              </w:rPr>
              <w:t>Microbiota* specific to the event on Circos analysis</w:t>
            </w:r>
          </w:p>
        </w:tc>
      </w:tr>
      <w:tr w:rsidR="00B415FA" w:rsidRPr="00DE3A34" w:rsidTr="00B502DF">
        <w:trPr>
          <w:trHeight w:val="456"/>
        </w:trPr>
        <w:tc>
          <w:tcPr>
            <w:tcW w:w="6379" w:type="dxa"/>
          </w:tcPr>
          <w:p w:rsidR="00B415FA" w:rsidRPr="00DE3A34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 xml:space="preserve">Presence of </w:t>
            </w:r>
            <w:r w:rsidRPr="00DE3A34">
              <w:rPr>
                <w:sz w:val="24"/>
                <w:szCs w:val="24"/>
                <w:lang w:val="en-US"/>
              </w:rPr>
              <w:t>infection</w:t>
            </w:r>
          </w:p>
        </w:tc>
        <w:tc>
          <w:tcPr>
            <w:tcW w:w="6963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Enterobacteriaceae, Bifidobacteriaceae, Lactobacillaceae, Coriobacteriaceae, Oxalobacteraceae, Anaeroplasmataceae, Barnesiellaceae, Flavobacteriaceae, Sphaerochaetaceae, Weeksellaceae, Dermabacteraceae, Rhodocyclaceae, Chromatiaceae, Brevibacteriaceae, Shewanellaceae, Sphingobacteriaceae, Nocardiaceae</w:t>
            </w:r>
          </w:p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B415FA" w:rsidRPr="00DE3A34" w:rsidTr="00B502DF">
        <w:trPr>
          <w:trHeight w:val="483"/>
        </w:trPr>
        <w:tc>
          <w:tcPr>
            <w:tcW w:w="6379" w:type="dxa"/>
          </w:tcPr>
          <w:p w:rsidR="00B415FA" w:rsidRPr="00DE3A34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 xml:space="preserve">Absence of </w:t>
            </w:r>
            <w:r w:rsidRPr="00DE3A34">
              <w:rPr>
                <w:sz w:val="24"/>
                <w:szCs w:val="24"/>
                <w:lang w:val="en-US"/>
              </w:rPr>
              <w:t>infection</w:t>
            </w:r>
          </w:p>
        </w:tc>
        <w:tc>
          <w:tcPr>
            <w:tcW w:w="6963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Bacteroidaceae, Veillonellaceae, Enterococcaceae, Lachnospiraceae, Streptococcaceae, Ruminococcaceae, Acetobacteraceae, Planococcaceae, Dehalobacteriaceae</w:t>
            </w:r>
          </w:p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B415FA" w:rsidRPr="00DE3A34" w:rsidTr="00B502DF">
        <w:trPr>
          <w:trHeight w:val="456"/>
        </w:trPr>
        <w:tc>
          <w:tcPr>
            <w:tcW w:w="6379" w:type="dxa"/>
          </w:tcPr>
          <w:p w:rsidR="00B415FA" w:rsidRPr="00DE3A34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One episode of infection</w:t>
            </w:r>
            <w:r w:rsidRPr="00DE3A34">
              <w:rPr>
                <w:sz w:val="24"/>
                <w:szCs w:val="24"/>
                <w:lang w:val="en-US"/>
              </w:rPr>
              <w:t xml:space="preserve"> in the past</w:t>
            </w:r>
          </w:p>
        </w:tc>
        <w:tc>
          <w:tcPr>
            <w:tcW w:w="6963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Enterobacteriaceae, Succinivibrionaceae, Lachnospiraceae, Mycoplasmataceae, Sphaerochaetaceae, Weeksellaceae, Rhodocyclaceae, Chromatiaceae, Brevibacteriaceae, Shewanellaceae, Nocardiaceae</w:t>
            </w:r>
          </w:p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B415FA" w:rsidRPr="00DE3A34" w:rsidTr="00B502DF">
        <w:trPr>
          <w:trHeight w:val="483"/>
        </w:trPr>
        <w:tc>
          <w:tcPr>
            <w:tcW w:w="6379" w:type="dxa"/>
          </w:tcPr>
          <w:p w:rsidR="00B415FA" w:rsidRPr="00DE3A34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Two or more episodes of infection</w:t>
            </w:r>
            <w:r w:rsidRPr="00DE3A34">
              <w:rPr>
                <w:sz w:val="24"/>
                <w:szCs w:val="24"/>
                <w:lang w:val="en-US"/>
              </w:rPr>
              <w:t xml:space="preserve"> in the past</w:t>
            </w:r>
          </w:p>
        </w:tc>
        <w:tc>
          <w:tcPr>
            <w:tcW w:w="6963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Bifidobacteriaceae, Sphingobacteriaceae, Peptostreptococcaceae, Barnesiellaceae, Flavobacteriaceae, Bacteroidaceae, Oxalobacteraceae, Anaeroplasmataceae, Lachnospiraceae, Dermabacteraceae</w:t>
            </w:r>
          </w:p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B415FA" w:rsidRPr="00DE3A34" w:rsidTr="00B502DF">
        <w:trPr>
          <w:trHeight w:val="270"/>
        </w:trPr>
        <w:tc>
          <w:tcPr>
            <w:tcW w:w="6379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Site of infection</w:t>
            </w:r>
          </w:p>
        </w:tc>
        <w:tc>
          <w:tcPr>
            <w:tcW w:w="6963" w:type="dxa"/>
            <w:vMerge w:val="restart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Lachnospiraceae, Caldisericaceae, Brevibacteriaceae</w:t>
            </w:r>
          </w:p>
        </w:tc>
      </w:tr>
      <w:tr w:rsidR="00B415FA" w:rsidRPr="00DE3A34" w:rsidTr="00B502DF">
        <w:trPr>
          <w:trHeight w:val="293"/>
        </w:trPr>
        <w:tc>
          <w:tcPr>
            <w:tcW w:w="6379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Lung</w:t>
            </w:r>
          </w:p>
        </w:tc>
        <w:tc>
          <w:tcPr>
            <w:tcW w:w="6963" w:type="dxa"/>
            <w:vMerge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B415FA" w:rsidRPr="00DE3A34" w:rsidTr="00B502DF">
        <w:trPr>
          <w:trHeight w:val="226"/>
        </w:trPr>
        <w:tc>
          <w:tcPr>
            <w:tcW w:w="6379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Peritonitis</w:t>
            </w:r>
          </w:p>
        </w:tc>
        <w:tc>
          <w:tcPr>
            <w:tcW w:w="6963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 xml:space="preserve">Sphingobacteriaceae, Clostridiaceae, Synergistaceae, Methanomicrobiaceae, </w:t>
            </w:r>
          </w:p>
        </w:tc>
      </w:tr>
      <w:tr w:rsidR="00B415FA" w:rsidRPr="00DE3A34" w:rsidTr="00B502DF">
        <w:trPr>
          <w:trHeight w:val="345"/>
        </w:trPr>
        <w:tc>
          <w:tcPr>
            <w:tcW w:w="6379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Skin and soft tissues</w:t>
            </w:r>
          </w:p>
        </w:tc>
        <w:tc>
          <w:tcPr>
            <w:tcW w:w="6963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Rhodocyclaceae, Synergistaceae, Dermabacteraceae</w:t>
            </w:r>
          </w:p>
        </w:tc>
      </w:tr>
      <w:tr w:rsidR="00B415FA" w:rsidRPr="00DE3A34" w:rsidTr="00B502DF">
        <w:trPr>
          <w:trHeight w:val="285"/>
        </w:trPr>
        <w:tc>
          <w:tcPr>
            <w:tcW w:w="6379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Genitourinary tract</w:t>
            </w:r>
          </w:p>
        </w:tc>
        <w:tc>
          <w:tcPr>
            <w:tcW w:w="6963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Barnesiellaceae, Succinivibrionaceae, Sphingomonadaceae</w:t>
            </w:r>
          </w:p>
        </w:tc>
      </w:tr>
      <w:tr w:rsidR="00B415FA" w:rsidRPr="00DE3A34" w:rsidTr="00B502DF">
        <w:trPr>
          <w:trHeight w:val="285"/>
        </w:trPr>
        <w:tc>
          <w:tcPr>
            <w:tcW w:w="6379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Hepatobiliary</w:t>
            </w:r>
          </w:p>
        </w:tc>
        <w:tc>
          <w:tcPr>
            <w:tcW w:w="6963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Weeksellaceae, Shewanellaceae, Bradyrhizobiaceae</w:t>
            </w:r>
          </w:p>
        </w:tc>
      </w:tr>
      <w:tr w:rsidR="00B415FA" w:rsidRPr="00DE3A34" w:rsidTr="00B502DF">
        <w:trPr>
          <w:trHeight w:val="300"/>
        </w:trPr>
        <w:tc>
          <w:tcPr>
            <w:tcW w:w="6379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Blood (isolated bacteremia)</w:t>
            </w:r>
          </w:p>
        </w:tc>
        <w:tc>
          <w:tcPr>
            <w:tcW w:w="6963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Mycoplasmataceae, Sphaerochaetaceae, Chromatiaceae, Nocardiaceae, Brevibacteriaceae, Intrasporangiaceae</w:t>
            </w:r>
          </w:p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B415FA" w:rsidRPr="00DE3A34" w:rsidTr="00B502DF">
        <w:trPr>
          <w:trHeight w:val="456"/>
        </w:trPr>
        <w:tc>
          <w:tcPr>
            <w:tcW w:w="6379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Overall survival</w:t>
            </w:r>
          </w:p>
        </w:tc>
        <w:tc>
          <w:tcPr>
            <w:tcW w:w="6963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Bifidobacteriaceae, Bacteroidaceae, Enterococcaceae, Coriobacteriaceae, Erysipelotrichaceae, Sphaerochaetaceae, Rhodocyclaceae, Chromatiaceae, Sphingobacteriaceae, Caldisericaceae</w:t>
            </w:r>
          </w:p>
        </w:tc>
      </w:tr>
      <w:tr w:rsidR="00B415FA" w:rsidRPr="00DE3A34" w:rsidTr="00B502DF">
        <w:trPr>
          <w:trHeight w:val="456"/>
        </w:trPr>
        <w:tc>
          <w:tcPr>
            <w:tcW w:w="6379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Overall deaths</w:t>
            </w:r>
          </w:p>
        </w:tc>
        <w:tc>
          <w:tcPr>
            <w:tcW w:w="6963" w:type="dxa"/>
          </w:tcPr>
          <w:p w:rsidR="00B415FA" w:rsidRPr="00CA0CC7" w:rsidRDefault="00B415FA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Enterobacteriaceae, Veillonellaceae, Lactobacillaceae, Ruminococcaceae, Streptococcaceae, Lachnospiraceae, Barnesiellaceae, Microbacteriaceae, Rhodobacteraceae, Weeksellaceae, Dermabacteraceae, Acetobacteraceae, Intrasporangiaceae, Shewanellaceae, Dehalobacteriaceae, Nocardiaceae, Gaiellaceae</w:t>
            </w:r>
          </w:p>
        </w:tc>
      </w:tr>
    </w:tbl>
    <w:p w:rsidR="00B415FA" w:rsidRPr="00CA0CC7" w:rsidRDefault="00B415FA" w:rsidP="00B415FA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CC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A0CC7">
        <w:rPr>
          <w:rFonts w:ascii="Times New Roman" w:hAnsi="Times New Roman" w:cs="Times New Roman"/>
          <w:sz w:val="24"/>
          <w:szCs w:val="24"/>
        </w:rPr>
        <w:t>icrobiota represented in Circos analysis up to level 5, which is at the family level of bacterial taxonomy.</w:t>
      </w:r>
    </w:p>
    <w:p w:rsidR="008137AB" w:rsidRDefault="008137AB"/>
    <w:sectPr w:rsidR="008137AB" w:rsidSect="00CA0A8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B415FA"/>
    <w:rsid w:val="001D0913"/>
    <w:rsid w:val="008137AB"/>
    <w:rsid w:val="00B415FA"/>
    <w:rsid w:val="00CA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415FA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2022-06-07T07:49:00Z</dcterms:created>
  <dcterms:modified xsi:type="dcterms:W3CDTF">2022-06-07T10:26:00Z</dcterms:modified>
</cp:coreProperties>
</file>