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31" w:rsidRPr="003B4417" w:rsidRDefault="00683F31" w:rsidP="00683F31">
      <w:pPr>
        <w:spacing w:line="360" w:lineRule="auto"/>
      </w:pPr>
    </w:p>
    <w:p w:rsidR="00683F31" w:rsidRPr="003B4417" w:rsidRDefault="00683F31" w:rsidP="00683F31">
      <w:pPr>
        <w:spacing w:line="360" w:lineRule="auto"/>
        <w:rPr>
          <w:b/>
          <w:bCs/>
        </w:rPr>
      </w:pPr>
      <w:r w:rsidRPr="003B4417">
        <w:rPr>
          <w:b/>
          <w:bCs/>
        </w:rPr>
        <w:t>Supplementary</w:t>
      </w:r>
      <w:r>
        <w:rPr>
          <w:b/>
          <w:bCs/>
        </w:rPr>
        <w:t xml:space="preserve"> </w:t>
      </w:r>
      <w:r w:rsidRPr="003B4417">
        <w:rPr>
          <w:b/>
          <w:bCs/>
        </w:rPr>
        <w:t>Methods</w:t>
      </w:r>
    </w:p>
    <w:p w:rsidR="00683F31" w:rsidRPr="003B4417" w:rsidRDefault="00683F31" w:rsidP="00683F31">
      <w:pPr>
        <w:spacing w:line="360" w:lineRule="auto"/>
        <w:rPr>
          <w:rFonts w:ascii="Times New Roman" w:hAnsi="Times New Roman"/>
          <w:b/>
        </w:rPr>
      </w:pPr>
      <w:r w:rsidRPr="003B4417">
        <w:rPr>
          <w:rFonts w:ascii="Times New Roman" w:hAnsi="Times New Roman"/>
          <w:b/>
        </w:rPr>
        <w:t>Construction</w:t>
      </w:r>
      <w:r>
        <w:rPr>
          <w:rFonts w:ascii="Times New Roman" w:hAnsi="Times New Roman"/>
          <w:b/>
        </w:rPr>
        <w:t xml:space="preserve"> </w:t>
      </w:r>
      <w:r w:rsidRPr="003B4417">
        <w:rPr>
          <w:rFonts w:ascii="Times New Roman" w:hAnsi="Times New Roman"/>
          <w:b/>
        </w:rPr>
        <w:t>of</w:t>
      </w:r>
      <w:r>
        <w:rPr>
          <w:rFonts w:ascii="Times New Roman" w:hAnsi="Times New Roman"/>
          <w:b/>
        </w:rPr>
        <w:t xml:space="preserve"> </w:t>
      </w:r>
      <w:r w:rsidRPr="003B4417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 </w:t>
      </w:r>
      <w:r w:rsidRPr="003B4417">
        <w:rPr>
          <w:rFonts w:ascii="Times New Roman" w:hAnsi="Times New Roman"/>
          <w:b/>
        </w:rPr>
        <w:t>necroptosis</w:t>
      </w:r>
      <w:r>
        <w:rPr>
          <w:rFonts w:ascii="Times New Roman" w:hAnsi="Times New Roman"/>
          <w:b/>
        </w:rPr>
        <w:t xml:space="preserve"> </w:t>
      </w:r>
      <w:r w:rsidRPr="003B4417">
        <w:rPr>
          <w:rFonts w:ascii="Times New Roman" w:hAnsi="Times New Roman"/>
          <w:b/>
        </w:rPr>
        <w:t>model</w:t>
      </w:r>
      <w:r>
        <w:rPr>
          <w:rFonts w:ascii="Times New Roman" w:hAnsi="Times New Roman"/>
          <w:b/>
          <w:i/>
        </w:rPr>
        <w:t xml:space="preserve"> </w:t>
      </w:r>
      <w:r w:rsidRPr="003B4417">
        <w:rPr>
          <w:rFonts w:ascii="Times New Roman" w:hAnsi="Times New Roman"/>
          <w:b/>
          <w:i/>
        </w:rPr>
        <w:t>in</w:t>
      </w:r>
      <w:r>
        <w:rPr>
          <w:rFonts w:ascii="Times New Roman" w:hAnsi="Times New Roman"/>
          <w:b/>
          <w:i/>
        </w:rPr>
        <w:t xml:space="preserve"> </w:t>
      </w:r>
      <w:r w:rsidRPr="003B4417">
        <w:rPr>
          <w:rFonts w:ascii="Times New Roman" w:hAnsi="Times New Roman"/>
          <w:b/>
          <w:i/>
        </w:rPr>
        <w:t>vitro</w:t>
      </w:r>
      <w:r>
        <w:rPr>
          <w:rFonts w:ascii="Times New Roman" w:hAnsi="Times New Roman"/>
          <w:b/>
        </w:rPr>
        <w:t xml:space="preserve"> </w:t>
      </w:r>
    </w:p>
    <w:p w:rsidR="00683F31" w:rsidRPr="003B4417" w:rsidRDefault="00683F31" w:rsidP="00683F31">
      <w:pPr>
        <w:spacing w:line="360" w:lineRule="auto"/>
        <w:rPr>
          <w:rFonts w:ascii="Times New Roman" w:hAnsi="Times New Roman"/>
          <w:szCs w:val="24"/>
        </w:rPr>
      </w:pPr>
      <w:r w:rsidRPr="003B4417">
        <w:rPr>
          <w:rFonts w:ascii="Times New Roman" w:hAnsi="Times New Roman"/>
        </w:rPr>
        <w:t>HT29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cells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were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seeded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into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six-well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cell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culture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plates.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When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cell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confluency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reached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70–80%,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μL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necroptosis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inducer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(TSZ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method)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(C1058S,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Beyotime,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China)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added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each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well.</w:t>
      </w:r>
      <w:r w:rsidRPr="003B4417">
        <w:rPr>
          <w:rFonts w:ascii="Times New Roman" w:hAnsi="Times New Roman"/>
          <w:noProof/>
          <w:vertAlign w:val="superscript"/>
        </w:rPr>
        <w:t>1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group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without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reagent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set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up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negative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control.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Subsequent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tests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were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conducted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4,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8,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h.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Procedures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followed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instructions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Annexin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V-FITC/PI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apoptosis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kit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(CA1020,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Solarbio,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China).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Detection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performed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using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flow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cytometer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(E97500357,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BD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Biosciences,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USA).</w:t>
      </w:r>
      <w:r w:rsidRPr="003B4417">
        <w:rPr>
          <w:rFonts w:ascii="Times New Roman" w:hAnsi="Times New Roman"/>
          <w:noProof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Data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analysis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conducted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using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FlowJo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V10.0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software.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Proteins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were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extracted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HT29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cells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treated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necroptosis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inducer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4,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8,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h,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expression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MLKL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p-MLKL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proteins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detected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using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Western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blot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method.</w:t>
      </w:r>
    </w:p>
    <w:p w:rsidR="00683F31" w:rsidRPr="003B4417" w:rsidRDefault="00683F31" w:rsidP="00683F31">
      <w:pPr>
        <w:spacing w:line="360" w:lineRule="auto"/>
        <w:ind w:firstLineChars="200" w:firstLine="440"/>
        <w:rPr>
          <w:rFonts w:ascii="Times New Roman" w:hAnsi="Times New Roman"/>
          <w:szCs w:val="24"/>
        </w:rPr>
      </w:pPr>
      <w:r w:rsidRPr="003B4417">
        <w:rPr>
          <w:rFonts w:ascii="Times New Roman" w:hAnsi="Times New Roman"/>
        </w:rPr>
        <w:t>HT29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cells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were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also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seeded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into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6-well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cell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culture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plates.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When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cell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confluency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reached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70–80%,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different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concentrations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NaB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(0,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1,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2,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4,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mmol/L)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were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added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each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well.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After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h,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μL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necroptosis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inducer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(TSZ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method)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added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each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well.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group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without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reagent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set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up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negative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control.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Flow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cytometry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Western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blot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methods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were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employed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h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post-treatment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further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assess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effects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determine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effective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concentration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3B4417">
        <w:rPr>
          <w:rFonts w:ascii="Times New Roman" w:hAnsi="Times New Roman"/>
        </w:rPr>
        <w:t>NaB.</w:t>
      </w:r>
    </w:p>
    <w:p w:rsidR="00683F31" w:rsidRPr="003B4417" w:rsidRDefault="00683F31" w:rsidP="00683F31">
      <w:pPr>
        <w:spacing w:line="360" w:lineRule="auto"/>
        <w:rPr>
          <w:rFonts w:ascii="Times New Roman" w:hAnsi="Times New Roman"/>
          <w:b/>
          <w:sz w:val="24"/>
        </w:rPr>
      </w:pPr>
      <w:r w:rsidRPr="003B4417">
        <w:rPr>
          <w:rFonts w:ascii="Times New Roman" w:hAnsi="Times New Roman"/>
          <w:b/>
          <w:sz w:val="24"/>
        </w:rPr>
        <w:t>References</w:t>
      </w:r>
    </w:p>
    <w:p w:rsidR="00683F31" w:rsidRPr="003B4417" w:rsidRDefault="00683F31" w:rsidP="00683F31">
      <w:pPr>
        <w:pStyle w:val="EndNoteBibliography"/>
        <w:spacing w:line="360" w:lineRule="auto"/>
        <w:ind w:left="284" w:hanging="284"/>
      </w:pPr>
      <w:r w:rsidRPr="003B4417">
        <w:t>[1]</w:t>
      </w:r>
      <w:r>
        <w:t xml:space="preserve"> </w:t>
      </w:r>
      <w:r w:rsidRPr="003B4417">
        <w:t>Chen</w:t>
      </w:r>
      <w:r>
        <w:t xml:space="preserve"> </w:t>
      </w:r>
      <w:r w:rsidRPr="003B4417">
        <w:t>W,</w:t>
      </w:r>
      <w:r>
        <w:t xml:space="preserve"> </w:t>
      </w:r>
      <w:r w:rsidRPr="003B4417">
        <w:t>Chen</w:t>
      </w:r>
      <w:r>
        <w:t xml:space="preserve"> </w:t>
      </w:r>
      <w:r w:rsidRPr="003B4417">
        <w:t>S,</w:t>
      </w:r>
      <w:r>
        <w:t xml:space="preserve"> </w:t>
      </w:r>
      <w:r w:rsidRPr="003B4417">
        <w:t>Yan</w:t>
      </w:r>
      <w:r>
        <w:t xml:space="preserve"> </w:t>
      </w:r>
      <w:r w:rsidRPr="003B4417">
        <w:t>C,</w:t>
      </w:r>
      <w:r>
        <w:t xml:space="preserve"> </w:t>
      </w:r>
      <w:r w:rsidRPr="003B4417">
        <w:t>Zhang</w:t>
      </w:r>
      <w:r>
        <w:t xml:space="preserve"> </w:t>
      </w:r>
      <w:r w:rsidRPr="003B4417">
        <w:t>Y,</w:t>
      </w:r>
      <w:r>
        <w:t xml:space="preserve"> </w:t>
      </w:r>
      <w:r w:rsidRPr="003B4417">
        <w:t>Zhang</w:t>
      </w:r>
      <w:r>
        <w:t xml:space="preserve"> </w:t>
      </w:r>
      <w:r w:rsidRPr="003B4417">
        <w:t>R,</w:t>
      </w:r>
      <w:r>
        <w:t xml:space="preserve"> </w:t>
      </w:r>
      <w:r w:rsidRPr="003B4417">
        <w:t>Chen</w:t>
      </w:r>
      <w:r>
        <w:t xml:space="preserve"> </w:t>
      </w:r>
      <w:r w:rsidRPr="003B4417">
        <w:t>M</w:t>
      </w:r>
      <w:r w:rsidRPr="003B4417">
        <w:rPr>
          <w:i/>
        </w:rPr>
        <w:t>,</w:t>
      </w:r>
      <w:r>
        <w:rPr>
          <w:i/>
        </w:rPr>
        <w:t xml:space="preserve"> </w:t>
      </w:r>
      <w:r w:rsidRPr="003B4417">
        <w:rPr>
          <w:i/>
        </w:rPr>
        <w:t>et</w:t>
      </w:r>
      <w:r>
        <w:rPr>
          <w:i/>
        </w:rPr>
        <w:t xml:space="preserve"> </w:t>
      </w:r>
      <w:r w:rsidRPr="003B4417">
        <w:rPr>
          <w:i/>
        </w:rPr>
        <w:t>al.</w:t>
      </w:r>
      <w:r>
        <w:t xml:space="preserve"> </w:t>
      </w:r>
      <w:r w:rsidRPr="003B4417">
        <w:t>Allergen</w:t>
      </w:r>
      <w:r>
        <w:t xml:space="preserve"> </w:t>
      </w:r>
      <w:r w:rsidRPr="003B4417">
        <w:t>protease-activated</w:t>
      </w:r>
      <w:r>
        <w:t xml:space="preserve"> </w:t>
      </w:r>
      <w:r w:rsidRPr="003B4417">
        <w:t>stress</w:t>
      </w:r>
      <w:r>
        <w:t xml:space="preserve"> </w:t>
      </w:r>
      <w:r w:rsidRPr="003B4417">
        <w:t>granule</w:t>
      </w:r>
      <w:r>
        <w:t xml:space="preserve"> </w:t>
      </w:r>
      <w:r w:rsidRPr="003B4417">
        <w:t>assembly</w:t>
      </w:r>
      <w:r>
        <w:t xml:space="preserve"> </w:t>
      </w:r>
      <w:r w:rsidRPr="003B4417">
        <w:t>and</w:t>
      </w:r>
      <w:r>
        <w:t xml:space="preserve"> </w:t>
      </w:r>
      <w:r w:rsidRPr="003B4417">
        <w:t>gasdermin</w:t>
      </w:r>
      <w:r>
        <w:t xml:space="preserve"> </w:t>
      </w:r>
      <w:r w:rsidRPr="003B4417">
        <w:t>D</w:t>
      </w:r>
      <w:r>
        <w:t xml:space="preserve"> </w:t>
      </w:r>
      <w:r w:rsidRPr="003B4417">
        <w:t>fragmentation</w:t>
      </w:r>
      <w:r>
        <w:t xml:space="preserve"> </w:t>
      </w:r>
      <w:r w:rsidRPr="003B4417">
        <w:t>control</w:t>
      </w:r>
      <w:r>
        <w:t xml:space="preserve"> </w:t>
      </w:r>
      <w:r w:rsidRPr="003B4417">
        <w:t>interleukin-33</w:t>
      </w:r>
      <w:r>
        <w:t xml:space="preserve"> </w:t>
      </w:r>
      <w:r w:rsidRPr="003B4417">
        <w:t>secretion.</w:t>
      </w:r>
      <w:r>
        <w:t xml:space="preserve"> </w:t>
      </w:r>
      <w:r w:rsidRPr="003B4417">
        <w:t>Nat</w:t>
      </w:r>
      <w:r>
        <w:t xml:space="preserve"> </w:t>
      </w:r>
      <w:r w:rsidRPr="003B4417">
        <w:t>Immunol</w:t>
      </w:r>
      <w:r>
        <w:t xml:space="preserve"> </w:t>
      </w:r>
      <w:r w:rsidRPr="003B4417">
        <w:t>2022;23(7):1021-1030.</w:t>
      </w:r>
      <w:r>
        <w:t xml:space="preserve"> </w:t>
      </w:r>
      <w:r w:rsidRPr="003B4417">
        <w:t>doi:</w:t>
      </w:r>
      <w:r>
        <w:t xml:space="preserve"> </w:t>
      </w:r>
      <w:r w:rsidRPr="003B4417">
        <w:t>10.1038/s41590-022-01255-6.</w:t>
      </w:r>
      <w:r>
        <w:t xml:space="preserve"> </w:t>
      </w:r>
      <w:r w:rsidRPr="003B4417">
        <w:t>PMID:</w:t>
      </w:r>
      <w:r>
        <w:t xml:space="preserve"> </w:t>
      </w:r>
      <w:r w:rsidRPr="003B4417">
        <w:t>35794369</w:t>
      </w:r>
    </w:p>
    <w:p w:rsidR="00683F31" w:rsidRPr="003B4417" w:rsidRDefault="00683F31" w:rsidP="00683F31">
      <w:pPr>
        <w:pStyle w:val="EndNoteBibliography"/>
        <w:spacing w:line="360" w:lineRule="auto"/>
        <w:ind w:left="284" w:hanging="284"/>
      </w:pPr>
      <w:r w:rsidRPr="003B4417">
        <w:t>[2]</w:t>
      </w:r>
      <w:r>
        <w:t xml:space="preserve"> </w:t>
      </w:r>
      <w:r w:rsidRPr="003B4417">
        <w:t>Chi</w:t>
      </w:r>
      <w:r>
        <w:t xml:space="preserve"> </w:t>
      </w:r>
      <w:r w:rsidRPr="003B4417">
        <w:t>Z,</w:t>
      </w:r>
      <w:r>
        <w:t xml:space="preserve"> </w:t>
      </w:r>
      <w:r w:rsidRPr="003B4417">
        <w:t>Gao</w:t>
      </w:r>
      <w:r>
        <w:t xml:space="preserve"> </w:t>
      </w:r>
      <w:r w:rsidRPr="003B4417">
        <w:t>H,</w:t>
      </w:r>
      <w:r>
        <w:t xml:space="preserve"> </w:t>
      </w:r>
      <w:r w:rsidRPr="003B4417">
        <w:t>Liu</w:t>
      </w:r>
      <w:r>
        <w:t xml:space="preserve"> </w:t>
      </w:r>
      <w:r w:rsidRPr="003B4417">
        <w:t>H,</w:t>
      </w:r>
      <w:r>
        <w:t xml:space="preserve"> </w:t>
      </w:r>
      <w:r w:rsidRPr="003B4417">
        <w:t>Wu</w:t>
      </w:r>
      <w:r>
        <w:t xml:space="preserve"> </w:t>
      </w:r>
      <w:r w:rsidRPr="003B4417">
        <w:t>B,</w:t>
      </w:r>
      <w:r>
        <w:t xml:space="preserve"> </w:t>
      </w:r>
      <w:r w:rsidRPr="003B4417">
        <w:t>Zhang</w:t>
      </w:r>
      <w:r>
        <w:t xml:space="preserve"> </w:t>
      </w:r>
      <w:r w:rsidRPr="003B4417">
        <w:t>B,</w:t>
      </w:r>
      <w:r>
        <w:t xml:space="preserve"> </w:t>
      </w:r>
      <w:r w:rsidRPr="003B4417">
        <w:t>Gu</w:t>
      </w:r>
      <w:r>
        <w:t xml:space="preserve"> </w:t>
      </w:r>
      <w:r w:rsidRPr="003B4417">
        <w:t>M</w:t>
      </w:r>
      <w:r w:rsidRPr="003B4417">
        <w:rPr>
          <w:i/>
        </w:rPr>
        <w:t>,</w:t>
      </w:r>
      <w:r>
        <w:rPr>
          <w:i/>
        </w:rPr>
        <w:t xml:space="preserve"> </w:t>
      </w:r>
      <w:r w:rsidRPr="003B4417">
        <w:rPr>
          <w:i/>
        </w:rPr>
        <w:t>et</w:t>
      </w:r>
      <w:r>
        <w:rPr>
          <w:i/>
        </w:rPr>
        <w:t xml:space="preserve"> </w:t>
      </w:r>
      <w:r w:rsidRPr="003B4417">
        <w:rPr>
          <w:i/>
        </w:rPr>
        <w:t>al.</w:t>
      </w:r>
      <w:r>
        <w:t xml:space="preserve"> </w:t>
      </w:r>
      <w:r w:rsidRPr="003B4417">
        <w:t>Chidamide</w:t>
      </w:r>
      <w:r>
        <w:t xml:space="preserve"> </w:t>
      </w:r>
      <w:r w:rsidRPr="003B4417">
        <w:t>induces</w:t>
      </w:r>
      <w:r>
        <w:t xml:space="preserve"> </w:t>
      </w:r>
      <w:r w:rsidRPr="003B4417">
        <w:t>necroptosis</w:t>
      </w:r>
      <w:r>
        <w:t xml:space="preserve"> </w:t>
      </w:r>
      <w:r w:rsidRPr="003B4417">
        <w:t>via</w:t>
      </w:r>
      <w:r>
        <w:t xml:space="preserve"> </w:t>
      </w:r>
      <w:r w:rsidRPr="003B4417">
        <w:t>regulation</w:t>
      </w:r>
      <w:r>
        <w:t xml:space="preserve"> </w:t>
      </w:r>
      <w:r w:rsidRPr="003B4417">
        <w:t>of</w:t>
      </w:r>
      <w:r>
        <w:t xml:space="preserve"> </w:t>
      </w:r>
      <w:r w:rsidRPr="003B4417">
        <w:t>c</w:t>
      </w:r>
      <w:r w:rsidRPr="003B4417">
        <w:rPr>
          <w:rFonts w:ascii="Cambria Math" w:hAnsi="Cambria Math" w:cs="Cambria Math"/>
        </w:rPr>
        <w:t>‑</w:t>
      </w:r>
      <w:r w:rsidRPr="003B4417">
        <w:t>FLIPL</w:t>
      </w:r>
      <w:r>
        <w:t xml:space="preserve"> </w:t>
      </w:r>
      <w:r w:rsidRPr="003B4417">
        <w:t>expression</w:t>
      </w:r>
      <w:r>
        <w:t xml:space="preserve"> </w:t>
      </w:r>
      <w:r w:rsidRPr="003B4417">
        <w:t>in</w:t>
      </w:r>
      <w:r>
        <w:t xml:space="preserve"> </w:t>
      </w:r>
      <w:r w:rsidRPr="003B4417">
        <w:t>Jurkat</w:t>
      </w:r>
      <w:r>
        <w:t xml:space="preserve"> </w:t>
      </w:r>
      <w:r w:rsidRPr="003B4417">
        <w:t>and</w:t>
      </w:r>
      <w:r>
        <w:t xml:space="preserve"> </w:t>
      </w:r>
      <w:r w:rsidRPr="003B4417">
        <w:t>HUT</w:t>
      </w:r>
      <w:r w:rsidRPr="003B4417">
        <w:rPr>
          <w:rFonts w:ascii="Cambria Math" w:hAnsi="Cambria Math" w:cs="Cambria Math"/>
        </w:rPr>
        <w:t>‑</w:t>
      </w:r>
      <w:r w:rsidRPr="003B4417">
        <w:t>78</w:t>
      </w:r>
      <w:r>
        <w:t xml:space="preserve"> </w:t>
      </w:r>
      <w:r w:rsidRPr="003B4417">
        <w:t>cells.</w:t>
      </w:r>
      <w:r>
        <w:t xml:space="preserve"> </w:t>
      </w:r>
      <w:r w:rsidRPr="003B4417">
        <w:t>Mol</w:t>
      </w:r>
      <w:r>
        <w:t xml:space="preserve"> </w:t>
      </w:r>
      <w:r w:rsidRPr="003B4417">
        <w:t>Med</w:t>
      </w:r>
      <w:r>
        <w:t xml:space="preserve"> </w:t>
      </w:r>
      <w:r w:rsidRPr="003B4417">
        <w:t>Rep</w:t>
      </w:r>
      <w:r>
        <w:t xml:space="preserve"> </w:t>
      </w:r>
      <w:r w:rsidRPr="003B4417">
        <w:t>2020;21(2):936-944.</w:t>
      </w:r>
      <w:r>
        <w:t xml:space="preserve"> </w:t>
      </w:r>
      <w:r w:rsidRPr="003B4417">
        <w:t>doi:</w:t>
      </w:r>
      <w:r>
        <w:t xml:space="preserve"> </w:t>
      </w:r>
      <w:r w:rsidRPr="003B4417">
        <w:t>10.3892/mmr.2019.10873.</w:t>
      </w:r>
      <w:r>
        <w:t xml:space="preserve"> </w:t>
      </w:r>
      <w:r w:rsidRPr="003B4417">
        <w:t>PMID:</w:t>
      </w:r>
      <w:r>
        <w:t xml:space="preserve"> </w:t>
      </w:r>
      <w:r w:rsidRPr="003B4417">
        <w:t>31974619</w:t>
      </w:r>
    </w:p>
    <w:p w:rsidR="00683F31" w:rsidRPr="003B4417" w:rsidRDefault="00683F31" w:rsidP="00683F31">
      <w:pPr>
        <w:spacing w:line="360" w:lineRule="auto"/>
        <w:ind w:left="284" w:hanging="284"/>
        <w:rPr>
          <w:rFonts w:ascii="Times New Roman" w:hAnsi="Times New Roman"/>
        </w:rPr>
      </w:pPr>
    </w:p>
    <w:p w:rsidR="005B5EC0" w:rsidRDefault="005B5EC0"/>
    <w:sectPr w:rsidR="005B5EC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683F31"/>
    <w:rsid w:val="005B5EC0"/>
    <w:rsid w:val="0068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683F31"/>
    <w:pPr>
      <w:widowControl w:val="0"/>
      <w:spacing w:after="0" w:line="240" w:lineRule="auto"/>
      <w:jc w:val="both"/>
    </w:pPr>
    <w:rPr>
      <w:rFonts w:ascii="Calibri" w:eastAsia="宋体" w:hAnsi="Calibri" w:cs="Calibri"/>
      <w:noProof/>
      <w:kern w:val="2"/>
      <w:sz w:val="20"/>
      <w:lang w:eastAsia="zh-CN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683F31"/>
    <w:rPr>
      <w:rFonts w:ascii="Calibri" w:eastAsia="宋体" w:hAnsi="Calibri" w:cs="Calibri"/>
      <w:noProof/>
      <w:kern w:val="2"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2024-11-04T09:22:00Z</dcterms:created>
  <dcterms:modified xsi:type="dcterms:W3CDTF">2024-11-04T09:22:00Z</dcterms:modified>
</cp:coreProperties>
</file>