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1D" w:rsidRPr="007B7335" w:rsidRDefault="00CB561D" w:rsidP="00CB561D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5AD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364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645AD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645AD">
        <w:rPr>
          <w:rFonts w:ascii="Times New Roman" w:hAnsi="Times New Roman" w:cs="Times New Roman"/>
          <w:b/>
          <w:bCs/>
          <w:sz w:val="24"/>
          <w:szCs w:val="24"/>
        </w:rPr>
        <w:t xml:space="preserve">. Comparison of patients with lean and </w:t>
      </w:r>
      <w:r>
        <w:rPr>
          <w:rFonts w:ascii="Times New Roman" w:hAnsi="Times New Roman" w:cs="Times New Roman"/>
          <w:b/>
          <w:bCs/>
          <w:sz w:val="24"/>
          <w:szCs w:val="24"/>
        </w:rPr>
        <w:t>non-lean</w:t>
      </w:r>
      <w:r w:rsidRPr="00364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nonalcoholic fatty liver disease (</w:t>
      </w:r>
      <w:r w:rsidRPr="0054447C">
        <w:rPr>
          <w:rFonts w:ascii="Times New Roman" w:hAnsi="Times New Roman" w:cs="Times New Roman"/>
          <w:b/>
          <w:bCs/>
          <w:sz w:val="24"/>
          <w:szCs w:val="24"/>
        </w:rPr>
        <w:t>NAFLD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645AD">
        <w:rPr>
          <w:rFonts w:ascii="Times New Roman" w:hAnsi="Times New Roman" w:cs="Times New Roman"/>
          <w:b/>
          <w:bCs/>
          <w:sz w:val="24"/>
          <w:szCs w:val="24"/>
        </w:rPr>
        <w:t xml:space="preserve"> in association with </w:t>
      </w:r>
      <w:r>
        <w:rPr>
          <w:rFonts w:ascii="Times New Roman" w:hAnsi="Times New Roman" w:cs="Times New Roman"/>
          <w:b/>
          <w:bCs/>
          <w:sz w:val="24"/>
          <w:szCs w:val="24"/>
        </w:rPr>
        <w:t>nonalcoholic steatohepatitis (</w:t>
      </w:r>
      <w:r w:rsidRPr="003645AD">
        <w:rPr>
          <w:rFonts w:ascii="Times New Roman" w:hAnsi="Times New Roman" w:cs="Times New Roman"/>
          <w:b/>
          <w:bCs/>
          <w:sz w:val="24"/>
          <w:szCs w:val="24"/>
        </w:rPr>
        <w:t>NASH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645AD">
        <w:rPr>
          <w:rFonts w:ascii="Times New Roman" w:hAnsi="Times New Roman" w:cs="Times New Roman"/>
          <w:b/>
          <w:bCs/>
          <w:sz w:val="24"/>
          <w:szCs w:val="24"/>
        </w:rPr>
        <w:t>, cirrhosis, and mortality</w:t>
      </w:r>
    </w:p>
    <w:tbl>
      <w:tblPr>
        <w:tblStyle w:val="TableGrid"/>
        <w:tblW w:w="9274" w:type="dxa"/>
        <w:tblLook w:val="04A0"/>
      </w:tblPr>
      <w:tblGrid>
        <w:gridCol w:w="1885"/>
        <w:gridCol w:w="1170"/>
        <w:gridCol w:w="2070"/>
        <w:gridCol w:w="990"/>
        <w:gridCol w:w="2070"/>
        <w:gridCol w:w="1089"/>
      </w:tblGrid>
      <w:tr w:rsidR="00CB561D" w:rsidRPr="003645AD" w:rsidTr="00851F4F">
        <w:tc>
          <w:tcPr>
            <w:tcW w:w="1885" w:type="dxa"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Parameter</w:t>
            </w:r>
          </w:p>
        </w:tc>
        <w:tc>
          <w:tcPr>
            <w:tcW w:w="1170" w:type="dxa"/>
            <w:hideMark/>
          </w:tcPr>
          <w:p w:rsidR="00CB561D" w:rsidRPr="009535BC" w:rsidRDefault="00CB561D" w:rsidP="00851F4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3645AD">
              <w:rPr>
                <w:rFonts w:ascii="Times New Roman" w:hAnsi="Times New Roman" w:cs="Times New Roman"/>
                <w:b/>
                <w:bCs/>
              </w:rPr>
              <w:t>vents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  <w:b/>
                <w:bCs/>
              </w:rPr>
            </w:pPr>
            <w:r w:rsidRPr="003645AD">
              <w:rPr>
                <w:rFonts w:ascii="Times New Roman" w:hAnsi="Times New Roman" w:cs="Times New Roman"/>
                <w:b/>
                <w:bCs/>
              </w:rPr>
              <w:t>Univariable HR (95% CI)</w:t>
            </w:r>
          </w:p>
        </w:tc>
        <w:tc>
          <w:tcPr>
            <w:tcW w:w="99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  <w:b/>
                <w:bCs/>
              </w:rPr>
            </w:pPr>
            <w:r w:rsidRPr="003645AD">
              <w:rPr>
                <w:rFonts w:ascii="Times New Roman" w:hAnsi="Times New Roman" w:cs="Times New Roman"/>
                <w:b/>
                <w:bCs/>
                <w:i/>
                <w:iCs/>
              </w:rPr>
              <w:t>p-</w:t>
            </w:r>
            <w:r w:rsidRPr="003645AD">
              <w:rPr>
                <w:rFonts w:ascii="Times New Roman" w:hAnsi="Times New Roman" w:cs="Times New Roman"/>
                <w:b/>
                <w:bCs/>
              </w:rPr>
              <w:t>value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  <w:b/>
                <w:bCs/>
              </w:rPr>
            </w:pPr>
            <w:r w:rsidRPr="003645AD">
              <w:rPr>
                <w:rFonts w:ascii="Times New Roman" w:hAnsi="Times New Roman" w:cs="Times New Roman"/>
                <w:b/>
                <w:bCs/>
              </w:rPr>
              <w:t>Multivariable HR* (95% CI)</w:t>
            </w:r>
          </w:p>
        </w:tc>
        <w:tc>
          <w:tcPr>
            <w:tcW w:w="1089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  <w:b/>
                <w:bCs/>
              </w:rPr>
            </w:pPr>
            <w:r w:rsidRPr="003645AD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3645AD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</w:tr>
      <w:tr w:rsidR="00CB561D" w:rsidRPr="003645AD" w:rsidTr="00851F4F">
        <w:tc>
          <w:tcPr>
            <w:tcW w:w="9274" w:type="dxa"/>
            <w:gridSpan w:val="6"/>
            <w:shd w:val="clear" w:color="auto" w:fill="D9D9D9" w:themeFill="background1" w:themeFillShade="D9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NASH</w:t>
            </w:r>
          </w:p>
        </w:tc>
      </w:tr>
      <w:tr w:rsidR="00CB561D" w:rsidRPr="003645AD" w:rsidTr="00851F4F">
        <w:tc>
          <w:tcPr>
            <w:tcW w:w="1885" w:type="dxa"/>
            <w:hideMark/>
          </w:tcPr>
          <w:p w:rsidR="00CB561D" w:rsidRPr="003645AD" w:rsidRDefault="00CB561D" w:rsidP="00851F4F">
            <w:pPr>
              <w:ind w:left="247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Nonlean</w:t>
            </w:r>
          </w:p>
        </w:tc>
        <w:tc>
          <w:tcPr>
            <w:tcW w:w="11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561D" w:rsidRPr="003645AD" w:rsidTr="00851F4F">
        <w:tc>
          <w:tcPr>
            <w:tcW w:w="1885" w:type="dxa"/>
            <w:hideMark/>
          </w:tcPr>
          <w:p w:rsidR="00CB561D" w:rsidRPr="003645AD" w:rsidRDefault="00CB561D" w:rsidP="00851F4F">
            <w:pPr>
              <w:ind w:left="247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Lean</w:t>
            </w:r>
          </w:p>
        </w:tc>
        <w:tc>
          <w:tcPr>
            <w:tcW w:w="11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0.99 (0.81 – 1.23)</w:t>
            </w:r>
          </w:p>
        </w:tc>
        <w:tc>
          <w:tcPr>
            <w:tcW w:w="99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0.95 (0.76 – 1.18)</w:t>
            </w:r>
          </w:p>
        </w:tc>
        <w:tc>
          <w:tcPr>
            <w:tcW w:w="1089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0.66</w:t>
            </w:r>
          </w:p>
        </w:tc>
      </w:tr>
      <w:tr w:rsidR="00CB561D" w:rsidRPr="003645AD" w:rsidTr="00851F4F">
        <w:tc>
          <w:tcPr>
            <w:tcW w:w="9274" w:type="dxa"/>
            <w:gridSpan w:val="6"/>
            <w:shd w:val="clear" w:color="auto" w:fill="D9D9D9" w:themeFill="background1" w:themeFillShade="D9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Cirrhosis</w:t>
            </w:r>
          </w:p>
        </w:tc>
      </w:tr>
      <w:tr w:rsidR="00CB561D" w:rsidRPr="003645AD" w:rsidTr="00851F4F">
        <w:tc>
          <w:tcPr>
            <w:tcW w:w="1885" w:type="dxa"/>
            <w:hideMark/>
          </w:tcPr>
          <w:p w:rsidR="00CB561D" w:rsidRPr="003645AD" w:rsidRDefault="00CB561D" w:rsidP="00851F4F">
            <w:pPr>
              <w:ind w:left="242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Nonlean</w:t>
            </w:r>
          </w:p>
        </w:tc>
        <w:tc>
          <w:tcPr>
            <w:tcW w:w="11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561D" w:rsidRPr="003645AD" w:rsidTr="00851F4F">
        <w:tc>
          <w:tcPr>
            <w:tcW w:w="1885" w:type="dxa"/>
            <w:hideMark/>
          </w:tcPr>
          <w:p w:rsidR="00CB561D" w:rsidRPr="003645AD" w:rsidRDefault="00CB561D" w:rsidP="00851F4F">
            <w:pPr>
              <w:ind w:left="252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Lean</w:t>
            </w:r>
          </w:p>
        </w:tc>
        <w:tc>
          <w:tcPr>
            <w:tcW w:w="11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0.94 (0.74 – 1.19)</w:t>
            </w:r>
          </w:p>
        </w:tc>
        <w:tc>
          <w:tcPr>
            <w:tcW w:w="99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0.88 (0.69 – 1.21)</w:t>
            </w:r>
          </w:p>
        </w:tc>
        <w:tc>
          <w:tcPr>
            <w:tcW w:w="1089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0.30</w:t>
            </w:r>
          </w:p>
        </w:tc>
      </w:tr>
      <w:tr w:rsidR="00CB561D" w:rsidRPr="003645AD" w:rsidTr="00851F4F">
        <w:tc>
          <w:tcPr>
            <w:tcW w:w="9274" w:type="dxa"/>
            <w:gridSpan w:val="6"/>
            <w:shd w:val="clear" w:color="auto" w:fill="D9D9D9" w:themeFill="background1" w:themeFillShade="D9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Overall mortality</w:t>
            </w:r>
          </w:p>
        </w:tc>
      </w:tr>
      <w:tr w:rsidR="00CB561D" w:rsidRPr="003645AD" w:rsidTr="00851F4F">
        <w:tc>
          <w:tcPr>
            <w:tcW w:w="1885" w:type="dxa"/>
            <w:hideMark/>
          </w:tcPr>
          <w:p w:rsidR="00CB561D" w:rsidRPr="003645AD" w:rsidRDefault="00CB561D" w:rsidP="00851F4F">
            <w:pPr>
              <w:ind w:left="242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Nonlean</w:t>
            </w:r>
          </w:p>
        </w:tc>
        <w:tc>
          <w:tcPr>
            <w:tcW w:w="11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561D" w:rsidRPr="003645AD" w:rsidTr="00851F4F">
        <w:tc>
          <w:tcPr>
            <w:tcW w:w="1885" w:type="dxa"/>
            <w:hideMark/>
          </w:tcPr>
          <w:p w:rsidR="00CB561D" w:rsidRPr="003645AD" w:rsidRDefault="00CB561D" w:rsidP="00851F4F">
            <w:pPr>
              <w:ind w:left="252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Lean</w:t>
            </w:r>
          </w:p>
        </w:tc>
        <w:tc>
          <w:tcPr>
            <w:tcW w:w="11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1.56 (1.06 – 2.29)</w:t>
            </w:r>
          </w:p>
        </w:tc>
        <w:tc>
          <w:tcPr>
            <w:tcW w:w="99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1.29 (0.86 – 1.93)</w:t>
            </w:r>
          </w:p>
        </w:tc>
        <w:tc>
          <w:tcPr>
            <w:tcW w:w="1089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0.22</w:t>
            </w:r>
          </w:p>
        </w:tc>
      </w:tr>
      <w:tr w:rsidR="00CB561D" w:rsidRPr="003645AD" w:rsidTr="00851F4F">
        <w:tc>
          <w:tcPr>
            <w:tcW w:w="9274" w:type="dxa"/>
            <w:gridSpan w:val="6"/>
            <w:shd w:val="clear" w:color="auto" w:fill="D9D9D9" w:themeFill="background1" w:themeFillShade="D9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  <w:vertAlign w:val="superscript"/>
              </w:rPr>
            </w:pPr>
            <w:r w:rsidRPr="003645AD">
              <w:rPr>
                <w:rFonts w:ascii="Times New Roman" w:hAnsi="Times New Roman" w:cs="Times New Roman"/>
              </w:rPr>
              <w:t>Liver-related mortality</w:t>
            </w:r>
          </w:p>
        </w:tc>
      </w:tr>
      <w:tr w:rsidR="00CB561D" w:rsidRPr="003645AD" w:rsidTr="00851F4F">
        <w:tc>
          <w:tcPr>
            <w:tcW w:w="1885" w:type="dxa"/>
            <w:hideMark/>
          </w:tcPr>
          <w:p w:rsidR="00CB561D" w:rsidRPr="003645AD" w:rsidRDefault="00CB561D" w:rsidP="00851F4F">
            <w:pPr>
              <w:ind w:left="242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Nonlean</w:t>
            </w:r>
          </w:p>
        </w:tc>
        <w:tc>
          <w:tcPr>
            <w:tcW w:w="11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561D" w:rsidRPr="003645AD" w:rsidTr="00851F4F">
        <w:tc>
          <w:tcPr>
            <w:tcW w:w="1885" w:type="dxa"/>
            <w:hideMark/>
          </w:tcPr>
          <w:p w:rsidR="00CB561D" w:rsidRPr="003645AD" w:rsidRDefault="00CB561D" w:rsidP="00851F4F">
            <w:pPr>
              <w:ind w:left="252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Lean</w:t>
            </w:r>
          </w:p>
        </w:tc>
        <w:tc>
          <w:tcPr>
            <w:tcW w:w="11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1.40 (0.42 – 4.72)</w:t>
            </w:r>
          </w:p>
        </w:tc>
        <w:tc>
          <w:tcPr>
            <w:tcW w:w="99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1.09 (0.32 – 3.75)</w:t>
            </w:r>
          </w:p>
        </w:tc>
        <w:tc>
          <w:tcPr>
            <w:tcW w:w="1089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0.89</w:t>
            </w:r>
          </w:p>
        </w:tc>
      </w:tr>
      <w:tr w:rsidR="00CB561D" w:rsidRPr="003645AD" w:rsidTr="00851F4F">
        <w:tc>
          <w:tcPr>
            <w:tcW w:w="9274" w:type="dxa"/>
            <w:gridSpan w:val="6"/>
            <w:shd w:val="clear" w:color="auto" w:fill="D9D9D9" w:themeFill="background1" w:themeFillShade="D9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  <w:vertAlign w:val="superscript"/>
              </w:rPr>
            </w:pPr>
            <w:r w:rsidRPr="003645AD">
              <w:rPr>
                <w:rFonts w:ascii="Times New Roman" w:hAnsi="Times New Roman" w:cs="Times New Roman"/>
              </w:rPr>
              <w:t>Nonliver-related mortality</w:t>
            </w:r>
          </w:p>
        </w:tc>
      </w:tr>
      <w:tr w:rsidR="00CB561D" w:rsidRPr="003645AD" w:rsidTr="00851F4F">
        <w:tc>
          <w:tcPr>
            <w:tcW w:w="1885" w:type="dxa"/>
            <w:hideMark/>
          </w:tcPr>
          <w:p w:rsidR="00CB561D" w:rsidRPr="003645AD" w:rsidRDefault="00CB561D" w:rsidP="00851F4F">
            <w:pPr>
              <w:ind w:left="242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Nonlean</w:t>
            </w:r>
          </w:p>
        </w:tc>
        <w:tc>
          <w:tcPr>
            <w:tcW w:w="11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561D" w:rsidRPr="003645AD" w:rsidTr="00851F4F">
        <w:tc>
          <w:tcPr>
            <w:tcW w:w="1885" w:type="dxa"/>
            <w:hideMark/>
          </w:tcPr>
          <w:p w:rsidR="00CB561D" w:rsidRPr="003645AD" w:rsidRDefault="00CB561D" w:rsidP="00851F4F">
            <w:pPr>
              <w:ind w:left="252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Lean</w:t>
            </w:r>
          </w:p>
        </w:tc>
        <w:tc>
          <w:tcPr>
            <w:tcW w:w="11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1.58 (1.05 – 2.37)</w:t>
            </w:r>
          </w:p>
        </w:tc>
        <w:tc>
          <w:tcPr>
            <w:tcW w:w="99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2070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1.30 (0.85 – 2.00)</w:t>
            </w:r>
          </w:p>
        </w:tc>
        <w:tc>
          <w:tcPr>
            <w:tcW w:w="1089" w:type="dxa"/>
            <w:hideMark/>
          </w:tcPr>
          <w:p w:rsidR="00CB561D" w:rsidRPr="003645AD" w:rsidRDefault="00CB561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0.23</w:t>
            </w:r>
          </w:p>
        </w:tc>
      </w:tr>
    </w:tbl>
    <w:p w:rsidR="00CB561D" w:rsidRPr="003645AD" w:rsidRDefault="00CB561D" w:rsidP="00CB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61D" w:rsidRPr="003645AD" w:rsidRDefault="00CB561D" w:rsidP="00CB561D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5A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645AD">
        <w:rPr>
          <w:rFonts w:ascii="Times New Roman" w:hAnsi="Times New Roman" w:cs="Times New Roman"/>
          <w:sz w:val="24"/>
          <w:szCs w:val="24"/>
        </w:rPr>
        <w:t>Lean, 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AD">
        <w:rPr>
          <w:rFonts w:ascii="Times New Roman" w:hAnsi="Times New Roman" w:cs="Times New Roman"/>
          <w:sz w:val="24"/>
          <w:szCs w:val="24"/>
        </w:rPr>
        <w:t xml:space="preserve">25 and nonlean, </w:t>
      </w:r>
      <w:r w:rsidRPr="003645AD">
        <w:rPr>
          <w:rFonts w:ascii="Times New Roman" w:hAnsi="Times New Roman" w:cs="Times New Roman"/>
          <w:sz w:val="24"/>
          <w:szCs w:val="24"/>
        </w:rPr>
        <w:sym w:font="Symbol" w:char="F0B3"/>
      </w:r>
      <w:r w:rsidRPr="003645AD">
        <w:rPr>
          <w:rFonts w:ascii="Times New Roman" w:hAnsi="Times New Roman" w:cs="Times New Roman"/>
          <w:sz w:val="24"/>
          <w:szCs w:val="24"/>
        </w:rPr>
        <w:t xml:space="preserve"> 25 for non-Asian patients and adjusted cutoffs of 23 for Asian patients.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AD">
        <w:rPr>
          <w:rFonts w:ascii="Times New Roman" w:hAnsi="Times New Roman" w:cs="Times New Roman"/>
          <w:sz w:val="24"/>
          <w:szCs w:val="24"/>
        </w:rPr>
        <w:t xml:space="preserve">*Models were adjusted for age, sex, race and ethnicity, and diabetes. HR, hazard ratio; </w:t>
      </w:r>
      <w:r>
        <w:rPr>
          <w:rFonts w:ascii="Times New Roman" w:hAnsi="Times New Roman" w:cs="Times New Roman"/>
          <w:sz w:val="24"/>
          <w:szCs w:val="24"/>
        </w:rPr>
        <w:t>N/A, not applicable.</w:t>
      </w:r>
    </w:p>
    <w:p w:rsidR="00D82DF8" w:rsidRDefault="00D82DF8"/>
    <w:sectPr w:rsidR="00D82D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CB561D"/>
    <w:rsid w:val="00CB561D"/>
    <w:rsid w:val="00D8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61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2023-11-03T00:48:00Z</dcterms:created>
  <dcterms:modified xsi:type="dcterms:W3CDTF">2023-11-03T00:48:00Z</dcterms:modified>
</cp:coreProperties>
</file>