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E6" w:rsidRPr="00BF1003" w:rsidRDefault="00B24FE6" w:rsidP="00B24FE6">
      <w:pPr>
        <w:spacing w:after="0" w:line="480" w:lineRule="auto"/>
        <w:contextualSpacing/>
        <w:jc w:val="both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BF1003">
        <w:rPr>
          <w:rFonts w:ascii="Times New Roman" w:eastAsia="宋体" w:hAnsi="Times New Roman" w:cs="Times New Roman"/>
          <w:b/>
          <w:bCs/>
          <w:sz w:val="28"/>
          <w:szCs w:val="28"/>
        </w:rPr>
        <w:t>Supplementary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BF1003">
        <w:rPr>
          <w:rFonts w:ascii="Times New Roman" w:eastAsia="宋体" w:hAnsi="Times New Roman" w:cs="Times New Roman"/>
          <w:b/>
          <w:bCs/>
          <w:sz w:val="28"/>
          <w:szCs w:val="28"/>
        </w:rPr>
        <w:t>materials</w:t>
      </w:r>
    </w:p>
    <w:p w:rsidR="00B24FE6" w:rsidRPr="00BF1003" w:rsidRDefault="00B24FE6" w:rsidP="00B24FE6">
      <w:pPr>
        <w:spacing w:after="0" w:line="480" w:lineRule="auto"/>
        <w:contextualSpacing/>
        <w:jc w:val="both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B24FE6" w:rsidRPr="008F3BCD" w:rsidRDefault="00B24FE6" w:rsidP="00B24FE6">
      <w:pPr>
        <w:spacing w:after="0" w:line="480" w:lineRule="auto"/>
        <w:contextualSpacing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 w:rsidRPr="008F3BCD">
        <w:rPr>
          <w:rFonts w:ascii="Times New Roman" w:eastAsia="宋体" w:hAnsi="Times New Roman" w:cs="Times New Roman"/>
          <w:b/>
          <w:sz w:val="24"/>
          <w:szCs w:val="24"/>
        </w:rPr>
        <w:t>Sample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b/>
          <w:sz w:val="24"/>
          <w:szCs w:val="24"/>
        </w:rPr>
        <w:t>size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b/>
          <w:sz w:val="24"/>
          <w:szCs w:val="24"/>
        </w:rPr>
        <w:t>calculation</w:t>
      </w:r>
    </w:p>
    <w:p w:rsidR="00B24FE6" w:rsidRPr="008F3BCD" w:rsidRDefault="00B24FE6" w:rsidP="00B24FE6">
      <w:pPr>
        <w:spacing w:after="0" w:line="48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2164080</wp:posOffset>
            </wp:positionV>
            <wp:extent cx="2072005" cy="575310"/>
            <wp:effectExtent l="19050" t="0" r="4445" b="0"/>
            <wp:wrapTopAndBottom/>
            <wp:docPr id="2" name="图片 0" descr="微信图片_2020120819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微信图片_202012081959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BCD">
        <w:rPr>
          <w:rFonts w:ascii="Times New Roman" w:eastAsia="宋体" w:hAnsi="Times New Roman" w:cs="Times New Roman"/>
          <w:sz w:val="24"/>
          <w:szCs w:val="24"/>
        </w:rPr>
        <w:t>Th</w:t>
      </w:r>
      <w:r>
        <w:rPr>
          <w:rFonts w:ascii="Times New Roman" w:eastAsia="宋体" w:hAnsi="Times New Roman" w:cs="Times New Roman"/>
          <w:sz w:val="24"/>
          <w:szCs w:val="24"/>
        </w:rPr>
        <w:t xml:space="preserve">e </w:t>
      </w:r>
      <w:r w:rsidRPr="008F3BCD">
        <w:rPr>
          <w:rFonts w:ascii="Times New Roman" w:eastAsia="宋体" w:hAnsi="Times New Roman" w:cs="Times New Roman"/>
          <w:sz w:val="24"/>
          <w:szCs w:val="24"/>
        </w:rPr>
        <w:t>study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retrospectively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enrolled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patients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with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hepatocellular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carcinoma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pathologically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confirmed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by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surgery</w:t>
      </w:r>
      <w:r>
        <w:rPr>
          <w:rFonts w:ascii="Times New Roman" w:eastAsia="宋体" w:hAnsi="Times New Roman" w:cs="Times New Roman"/>
          <w:sz w:val="24"/>
          <w:szCs w:val="24"/>
        </w:rPr>
        <w:t xml:space="preserve"> and who </w:t>
      </w:r>
      <w:r w:rsidRPr="008F3BCD">
        <w:rPr>
          <w:rFonts w:ascii="Times New Roman" w:eastAsia="宋体" w:hAnsi="Times New Roman" w:cs="Times New Roman"/>
          <w:sz w:val="24"/>
          <w:szCs w:val="24"/>
        </w:rPr>
        <w:t>underwent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Gd-EOB-DTPA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enhanced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MRI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within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month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before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surgery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gold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standard,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aiming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evaluate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accuracy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of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radiomics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in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predicting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microvascular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invasion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of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hepatocellular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carcinoma.</w:t>
      </w:r>
      <w:r>
        <w:rPr>
          <w:rFonts w:ascii="Times New Roman" w:eastAsia="宋体" w:hAnsi="Times New Roman" w:cs="Times New Roman"/>
          <w:sz w:val="24"/>
          <w:szCs w:val="24"/>
        </w:rPr>
        <w:t xml:space="preserve"> S</w:t>
      </w:r>
      <w:r w:rsidRPr="008F3BCD">
        <w:rPr>
          <w:rFonts w:ascii="Times New Roman" w:eastAsia="宋体" w:hAnsi="Times New Roman" w:cs="Times New Roman"/>
          <w:sz w:val="24"/>
          <w:szCs w:val="24"/>
        </w:rPr>
        <w:t>ensitivity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specificity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were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both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0.80</w:t>
      </w:r>
      <w:r>
        <w:rPr>
          <w:rFonts w:ascii="Times New Roman" w:eastAsia="宋体" w:hAnsi="Times New Roman" w:cs="Times New Roman"/>
          <w:sz w:val="24"/>
          <w:szCs w:val="24"/>
        </w:rPr>
        <w:t xml:space="preserve"> in a previous study. T</w:t>
      </w:r>
      <w:r w:rsidRPr="008F3BCD">
        <w:rPr>
          <w:rFonts w:ascii="Times New Roman" w:eastAsia="宋体" w:hAnsi="Times New Roman" w:cs="Times New Roman"/>
          <w:sz w:val="24"/>
          <w:szCs w:val="24"/>
        </w:rPr>
        <w:t>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allowable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error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was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5%,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two-sided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test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was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required,</w:t>
      </w:r>
      <w:r>
        <w:rPr>
          <w:rFonts w:ascii="Times New Roman" w:eastAsia="宋体" w:hAnsi="Times New Roman" w:cs="Times New Roman"/>
          <w:sz w:val="24"/>
          <w:szCs w:val="24"/>
        </w:rPr>
        <w:t xml:space="preserve"> and </w:t>
      </w:r>
      <w:r w:rsidRPr="008F3BCD">
        <w:rPr>
          <w:rFonts w:ascii="Times New Roman" w:eastAsia="宋体" w:hAnsi="Times New Roman" w:cs="Times New Roman"/>
          <w:sz w:val="24"/>
          <w:szCs w:val="24"/>
        </w:rPr>
        <w:t>α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was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0.05,</w:t>
      </w:r>
      <w:r>
        <w:rPr>
          <w:rFonts w:ascii="Times New Roman" w:eastAsia="宋体" w:hAnsi="Times New Roman" w:cs="Times New Roman"/>
          <w:sz w:val="24"/>
          <w:szCs w:val="24"/>
        </w:rPr>
        <w:t xml:space="preserve"> calculated as</w:t>
      </w:r>
      <w:r w:rsidRPr="008F3BCD">
        <w:rPr>
          <w:rFonts w:ascii="Times New Roman" w:eastAsia="宋体" w:hAnsi="Times New Roman" w:cs="Times New Roman"/>
          <w:sz w:val="24"/>
          <w:szCs w:val="24"/>
        </w:rPr>
        <w:t>:</w:t>
      </w:r>
    </w:p>
    <w:p w:rsidR="00B24FE6" w:rsidRPr="008F3BCD" w:rsidRDefault="00B24FE6" w:rsidP="00B24FE6">
      <w:pPr>
        <w:pStyle w:val="NormalWeb"/>
        <w:spacing w:before="0" w:beforeAutospacing="0" w:after="0" w:afterAutospacing="0" w:line="480" w:lineRule="auto"/>
        <w:contextualSpacing/>
        <w:jc w:val="both"/>
        <w:rPr>
          <w:rFonts w:ascii="Times New Roman" w:hAnsi="Times New Roman" w:cs="Times New Roman"/>
        </w:rPr>
      </w:pPr>
    </w:p>
    <w:p w:rsidR="00B24FE6" w:rsidRPr="008F3BCD" w:rsidRDefault="00B24FE6" w:rsidP="00B24FE6">
      <w:pPr>
        <w:spacing w:after="0" w:line="48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where </w:t>
      </w:r>
      <w:r w:rsidRPr="008F3BCD">
        <w:rPr>
          <w:rFonts w:ascii="Times New Roman" w:eastAsia="宋体" w:hAnsi="Times New Roman" w:cs="Times New Roman"/>
          <w:sz w:val="24"/>
          <w:szCs w:val="24"/>
        </w:rPr>
        <w:t>Z</w:t>
      </w:r>
      <w:r w:rsidRPr="008F3BCD">
        <w:rPr>
          <w:rFonts w:ascii="Times New Roman" w:eastAsia="宋体" w:hAnsi="Times New Roman" w:cs="Times New Roman"/>
          <w:sz w:val="24"/>
          <w:szCs w:val="24"/>
          <w:vertAlign w:val="subscript"/>
        </w:rPr>
        <w:t>1-α/2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is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1.96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by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look-up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table,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7041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8F3BCD">
        <w:rPr>
          <w:rFonts w:ascii="Times New Roman" w:eastAsia="宋体" w:hAnsi="Times New Roman" w:cs="Times New Roman"/>
          <w:sz w:val="24"/>
          <w:szCs w:val="24"/>
        </w:rPr>
        <w:t>=0.80,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δ=0.05,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n</w:t>
      </w:r>
      <w:r>
        <w:rPr>
          <w:rFonts w:ascii="Times New Roman" w:eastAsia="宋体" w:hAnsi="Times New Roman" w:cs="Times New Roman"/>
          <w:sz w:val="24"/>
          <w:szCs w:val="24"/>
        </w:rPr>
        <w:t>=</w:t>
      </w:r>
      <w:r w:rsidRPr="008F3BCD">
        <w:rPr>
          <w:rFonts w:ascii="Times New Roman" w:eastAsia="宋体" w:hAnsi="Times New Roman" w:cs="Times New Roman"/>
          <w:sz w:val="24"/>
          <w:szCs w:val="24"/>
        </w:rPr>
        <w:t>246</w:t>
      </w:r>
      <w:r>
        <w:rPr>
          <w:rFonts w:ascii="Times New Roman" w:eastAsia="宋体" w:hAnsi="Times New Roman" w:cs="Times New Roman"/>
          <w:sz w:val="24"/>
          <w:szCs w:val="24"/>
        </w:rPr>
        <w:t>. T</w:t>
      </w:r>
      <w:r w:rsidRPr="008F3BCD">
        <w:rPr>
          <w:rFonts w:ascii="Times New Roman" w:eastAsia="宋体" w:hAnsi="Times New Roman" w:cs="Times New Roman"/>
          <w:sz w:val="24"/>
          <w:szCs w:val="24"/>
        </w:rPr>
        <w:t>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minimum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sample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size</w:t>
      </w:r>
      <w:r>
        <w:rPr>
          <w:rFonts w:ascii="Times New Roman" w:eastAsia="宋体" w:hAnsi="Times New Roman" w:cs="Times New Roman"/>
          <w:sz w:val="24"/>
          <w:szCs w:val="24"/>
        </w:rPr>
        <w:t xml:space="preserve"> was estimated to be </w:t>
      </w:r>
      <w:r w:rsidRPr="008F3BCD">
        <w:rPr>
          <w:rFonts w:ascii="Times New Roman" w:eastAsia="宋体" w:hAnsi="Times New Roman" w:cs="Times New Roman"/>
          <w:sz w:val="24"/>
          <w:szCs w:val="24"/>
        </w:rPr>
        <w:t>246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cases.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(See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supplementary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materials)</w:t>
      </w:r>
    </w:p>
    <w:p w:rsidR="00B24FE6" w:rsidRPr="008F3BCD" w:rsidRDefault="00B24FE6" w:rsidP="00B24FE6">
      <w:pPr>
        <w:spacing w:after="0" w:line="48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B24FE6" w:rsidRPr="008F3BCD" w:rsidRDefault="00B24FE6" w:rsidP="00B24FE6">
      <w:pPr>
        <w:spacing w:after="0" w:line="480" w:lineRule="auto"/>
        <w:contextualSpacing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 w:rsidRPr="008F3BCD">
        <w:rPr>
          <w:rFonts w:ascii="Times New Roman" w:eastAsia="宋体" w:hAnsi="Times New Roman" w:cs="Times New Roman"/>
          <w:b/>
          <w:sz w:val="24"/>
          <w:szCs w:val="24"/>
        </w:rPr>
        <w:t>Model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b/>
          <w:sz w:val="24"/>
          <w:szCs w:val="24"/>
        </w:rPr>
        <w:t>application</w:t>
      </w:r>
    </w:p>
    <w:p w:rsidR="00B24FE6" w:rsidRDefault="00B24FE6" w:rsidP="00B24FE6">
      <w:pPr>
        <w:spacing w:after="0" w:line="48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2051685</wp:posOffset>
            </wp:positionV>
            <wp:extent cx="2616200" cy="4146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3BCD">
        <w:rPr>
          <w:rFonts w:ascii="Times New Roman" w:eastAsia="宋体" w:hAnsi="Times New Roman" w:cs="Times New Roman"/>
          <w:sz w:val="24"/>
          <w:szCs w:val="24"/>
        </w:rPr>
        <w:t>Radscore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generated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by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radiomics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together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with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other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clinicoradiological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features</w:t>
      </w:r>
      <w:r>
        <w:rPr>
          <w:rFonts w:ascii="Times New Roman" w:eastAsia="宋体" w:hAnsi="Times New Roman" w:cs="Times New Roman"/>
          <w:sz w:val="24"/>
          <w:szCs w:val="24"/>
        </w:rPr>
        <w:t xml:space="preserve"> was </w:t>
      </w:r>
      <w:r w:rsidRPr="008F3BCD">
        <w:rPr>
          <w:rFonts w:ascii="Times New Roman" w:eastAsia="宋体" w:hAnsi="Times New Roman" w:cs="Times New Roman"/>
          <w:sz w:val="24"/>
          <w:szCs w:val="24"/>
        </w:rPr>
        <w:t>used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establish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hybrid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model.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hybrid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model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combine</w:t>
      </w:r>
      <w:r>
        <w:rPr>
          <w:rFonts w:ascii="Times New Roman" w:eastAsia="宋体" w:hAnsi="Times New Roman" w:cs="Times New Roman"/>
          <w:sz w:val="24"/>
          <w:szCs w:val="24"/>
        </w:rPr>
        <w:t xml:space="preserve">d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of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all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predicted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values.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Variance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threshold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method,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correlation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coefficient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analysis</w:t>
      </w:r>
      <w:r>
        <w:rPr>
          <w:rFonts w:ascii="Times New Roman" w:eastAsia="宋体" w:hAnsi="Times New Roman" w:cs="Times New Roman"/>
          <w:sz w:val="24"/>
          <w:szCs w:val="24"/>
        </w:rPr>
        <w:t xml:space="preserve">, and the </w:t>
      </w:r>
      <w:r w:rsidRPr="008F3BCD">
        <w:rPr>
          <w:rFonts w:ascii="Times New Roman" w:eastAsia="宋体" w:hAnsi="Times New Roman" w:cs="Times New Roman"/>
          <w:sz w:val="24"/>
          <w:szCs w:val="24"/>
        </w:rPr>
        <w:t>L</w:t>
      </w:r>
      <w:r>
        <w:rPr>
          <w:rFonts w:ascii="Times New Roman" w:eastAsia="宋体" w:hAnsi="Times New Roman" w:cs="Times New Roman"/>
          <w:sz w:val="24"/>
          <w:szCs w:val="24"/>
        </w:rPr>
        <w:t xml:space="preserve">asso </w:t>
      </w:r>
      <w:r w:rsidRPr="008F3BCD">
        <w:rPr>
          <w:rFonts w:ascii="Times New Roman" w:eastAsia="宋体" w:hAnsi="Times New Roman" w:cs="Times New Roman"/>
          <w:sz w:val="24"/>
          <w:szCs w:val="24"/>
        </w:rPr>
        <w:t>algorithm</w:t>
      </w:r>
      <w:r>
        <w:rPr>
          <w:rFonts w:ascii="Times New Roman" w:eastAsia="宋体" w:hAnsi="Times New Roman" w:cs="Times New Roman"/>
          <w:sz w:val="24"/>
          <w:szCs w:val="24"/>
        </w:rPr>
        <w:t xml:space="preserve"> was </w:t>
      </w:r>
      <w:r w:rsidRPr="008F3BCD">
        <w:rPr>
          <w:rFonts w:ascii="Times New Roman" w:eastAsia="宋体" w:hAnsi="Times New Roman" w:cs="Times New Roman"/>
          <w:sz w:val="24"/>
          <w:szCs w:val="24"/>
        </w:rPr>
        <w:t>used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screen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features</w:t>
      </w:r>
      <w:r>
        <w:rPr>
          <w:rFonts w:ascii="Times New Roman" w:eastAsia="宋体" w:hAnsi="Times New Roman" w:cs="Times New Roman"/>
          <w:sz w:val="24"/>
          <w:szCs w:val="24"/>
        </w:rPr>
        <w:t>. W</w:t>
      </w:r>
      <w:r w:rsidRPr="008F3BCD">
        <w:rPr>
          <w:rFonts w:ascii="Times New Roman" w:eastAsia="宋体" w:hAnsi="Times New Roman" w:cs="Times New Roman"/>
          <w:sz w:val="24"/>
          <w:szCs w:val="24"/>
        </w:rPr>
        <w:t>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found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that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18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in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fusion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sequence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of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AP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VP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were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most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important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for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predicting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</w:t>
      </w:r>
      <w:r w:rsidRPr="008F3BCD">
        <w:rPr>
          <w:rFonts w:ascii="Times New Roman" w:hAnsi="Times New Roman" w:cs="Times New Roman"/>
          <w:bCs/>
          <w:sz w:val="24"/>
          <w:szCs w:val="24"/>
        </w:rPr>
        <w:t>VI</w:t>
      </w:r>
      <w:r w:rsidRPr="008F3BCD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 xml:space="preserve"> T</w:t>
      </w:r>
      <w:r w:rsidRPr="008F3BCD">
        <w:rPr>
          <w:rFonts w:ascii="Times New Roman" w:eastAsia="宋体" w:hAnsi="Times New Roman" w:cs="Times New Roman"/>
          <w:sz w:val="24"/>
          <w:szCs w:val="24"/>
        </w:rPr>
        <w:t>h</w:t>
      </w:r>
      <w:r>
        <w:rPr>
          <w:rFonts w:ascii="Times New Roman" w:eastAsia="宋体" w:hAnsi="Times New Roman" w:cs="Times New Roman"/>
          <w:sz w:val="24"/>
          <w:szCs w:val="24"/>
        </w:rPr>
        <w:t>o</w:t>
      </w:r>
      <w:r w:rsidRPr="008F3BCD">
        <w:rPr>
          <w:rFonts w:ascii="Times New Roman" w:eastAsia="宋体" w:hAnsi="Times New Roman" w:cs="Times New Roman"/>
          <w:sz w:val="24"/>
          <w:szCs w:val="24"/>
        </w:rPr>
        <w:t>se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were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used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</w:t>
      </w:r>
      <w:r>
        <w:rPr>
          <w:rFonts w:ascii="Times New Roman" w:eastAsia="宋体" w:hAnsi="Times New Roman" w:cs="Times New Roman"/>
          <w:sz w:val="24"/>
          <w:szCs w:val="24"/>
        </w:rPr>
        <w:t xml:space="preserve"> calculate the </w:t>
      </w:r>
      <w:r>
        <w:rPr>
          <w:rFonts w:ascii="Times New Roman" w:eastAsia="宋体" w:hAnsi="Times New Roman" w:cs="Times New Roman"/>
          <w:sz w:val="24"/>
          <w:szCs w:val="24"/>
        </w:rPr>
        <w:lastRenderedPageBreak/>
        <w:t>Radscore.</w:t>
      </w:r>
    </w:p>
    <w:p w:rsidR="00B24FE6" w:rsidRPr="008F3BCD" w:rsidRDefault="00B24FE6" w:rsidP="00B24FE6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FE6" w:rsidRPr="008F3BCD" w:rsidRDefault="00B24FE6" w:rsidP="00B24FE6">
      <w:pPr>
        <w:spacing w:after="0" w:line="48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Radscore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regarded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together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with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AFP,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APTT,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tumor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margin,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capsule,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intratumoral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hemorrhage,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arterial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peritumoral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enhancement</w:t>
      </w:r>
      <w:r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peritumoral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hypointensity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on</w:t>
      </w:r>
      <w:r>
        <w:rPr>
          <w:rFonts w:ascii="Times New Roman" w:eastAsia="宋体" w:hAnsi="Times New Roman" w:cs="Times New Roman"/>
          <w:sz w:val="24"/>
          <w:szCs w:val="24"/>
        </w:rPr>
        <w:t xml:space="preserve"> the </w:t>
      </w:r>
      <w:r w:rsidRPr="008F3BCD">
        <w:rPr>
          <w:rFonts w:ascii="Times New Roman" w:eastAsia="宋体" w:hAnsi="Times New Roman" w:cs="Times New Roman"/>
          <w:sz w:val="24"/>
          <w:szCs w:val="24"/>
        </w:rPr>
        <w:t>hepatobiliary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phase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establish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hybrid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model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that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combined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clinicoradiological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factors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fusion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radiomics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signature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of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AP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VP.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Before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screening,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they</w:t>
      </w:r>
      <w:r>
        <w:rPr>
          <w:rFonts w:ascii="Times New Roman" w:eastAsia="宋体" w:hAnsi="Times New Roman" w:cs="Times New Roman"/>
          <w:sz w:val="24"/>
          <w:szCs w:val="24"/>
        </w:rPr>
        <w:t xml:space="preserve"> were </w:t>
      </w:r>
      <w:r w:rsidRPr="008F3BCD">
        <w:rPr>
          <w:rFonts w:ascii="Times New Roman" w:eastAsia="宋体" w:hAnsi="Times New Roman" w:cs="Times New Roman"/>
          <w:sz w:val="24"/>
          <w:szCs w:val="24"/>
        </w:rPr>
        <w:t>normaliz</w:t>
      </w:r>
      <w:r>
        <w:rPr>
          <w:rFonts w:ascii="Times New Roman" w:eastAsia="宋体" w:hAnsi="Times New Roman" w:cs="Times New Roman"/>
          <w:sz w:val="24"/>
          <w:szCs w:val="24"/>
        </w:rPr>
        <w:t xml:space="preserve">ed </w:t>
      </w:r>
      <w:r w:rsidRPr="008F3BCD">
        <w:rPr>
          <w:rFonts w:ascii="Times New Roman" w:eastAsia="宋体" w:hAnsi="Times New Roman" w:cs="Times New Roman"/>
          <w:sz w:val="24"/>
          <w:szCs w:val="24"/>
        </w:rPr>
        <w:t>using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the </w:t>
      </w:r>
      <w:r w:rsidRPr="008F3BCD">
        <w:rPr>
          <w:rFonts w:ascii="Times New Roman" w:eastAsia="宋体" w:hAnsi="Times New Roman" w:cs="Times New Roman"/>
          <w:sz w:val="24"/>
          <w:szCs w:val="24"/>
        </w:rPr>
        <w:t>Z-score</w:t>
      </w:r>
      <w:r>
        <w:rPr>
          <w:rFonts w:ascii="Times New Roman" w:eastAsia="宋体" w:hAnsi="Times New Roman" w:cs="Times New Roman"/>
          <w:sz w:val="24"/>
          <w:szCs w:val="24"/>
        </w:rPr>
        <w:t xml:space="preserve">, with </w:t>
      </w:r>
      <w:r w:rsidRPr="008F3BCD">
        <w:rPr>
          <w:rFonts w:ascii="Times New Roman" w:eastAsia="宋体" w:hAnsi="Times New Roman" w:cs="Times New Roman"/>
          <w:sz w:val="24"/>
          <w:szCs w:val="24"/>
        </w:rPr>
        <w:t>all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features</w:t>
      </w:r>
      <w:r>
        <w:rPr>
          <w:rFonts w:ascii="Times New Roman" w:eastAsia="宋体" w:hAnsi="Times New Roman" w:cs="Times New Roman"/>
          <w:sz w:val="24"/>
          <w:szCs w:val="24"/>
        </w:rPr>
        <w:t xml:space="preserve"> having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same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weight.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In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risk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factors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screening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of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clinicoradiological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model,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classification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index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was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examined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using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point-baserial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analysis,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continuous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variables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were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evaluated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through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Pearson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correlation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analysis,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t-test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was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used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realize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correlation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test.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Finally,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L</w:t>
      </w:r>
      <w:r>
        <w:rPr>
          <w:rFonts w:ascii="Times New Roman" w:eastAsia="宋体" w:hAnsi="Times New Roman" w:cs="Times New Roman"/>
          <w:sz w:val="24"/>
          <w:szCs w:val="24"/>
        </w:rPr>
        <w:t xml:space="preserve">asso </w:t>
      </w:r>
      <w:r w:rsidRPr="008F3BCD">
        <w:rPr>
          <w:rFonts w:ascii="Times New Roman" w:eastAsia="宋体" w:hAnsi="Times New Roman" w:cs="Times New Roman"/>
          <w:sz w:val="24"/>
          <w:szCs w:val="24"/>
        </w:rPr>
        <w:t>algorithm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was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used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determine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potential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risk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factors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of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MVI.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these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potential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risk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factors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were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used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establish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clinicoradiological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model.</w:t>
      </w:r>
    </w:p>
    <w:p w:rsidR="00B24FE6" w:rsidRDefault="00B24FE6" w:rsidP="00B24FE6">
      <w:pPr>
        <w:spacing w:after="0" w:line="48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B24FE6" w:rsidRPr="008F3BCD" w:rsidRDefault="00B24FE6" w:rsidP="00B24FE6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G</w:t>
      </w:r>
      <w:r w:rsidRPr="008F3BCD">
        <w:rPr>
          <w:rFonts w:ascii="Times New Roman" w:eastAsia="宋体" w:hAnsi="Times New Roman" w:cs="Times New Roman"/>
          <w:sz w:val="24"/>
          <w:szCs w:val="24"/>
        </w:rPr>
        <w:t>eneral</w:t>
      </w:r>
      <w:r>
        <w:rPr>
          <w:rFonts w:ascii="Times New Roman" w:eastAsia="宋体" w:hAnsi="Times New Roman" w:cs="Times New Roman"/>
          <w:sz w:val="24"/>
          <w:szCs w:val="24"/>
        </w:rPr>
        <w:t>ly</w:t>
      </w:r>
      <w:r w:rsidRPr="008F3BCD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before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single-sequence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radiomics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screening,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performed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correlation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analysis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collinearity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analysis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eliminate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with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high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collinearity.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Subsequently,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remaining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were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normalized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each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was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weighted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equally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for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final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screening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by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Lasso.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final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screened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their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lasso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coefficients,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row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matrix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lasso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intercept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terms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predicted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values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obtain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Radscore.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Before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fusion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different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sequences,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such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fusion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sequence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of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AP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VP,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spliced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of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AP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VP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sequences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by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column,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obtained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of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fusion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sequence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its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Radscore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according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method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of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single-sequence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feature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screening.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In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conclusion,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corresponding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Radscore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clinicoradiological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factors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were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used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establish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hybrid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F3BCD">
        <w:rPr>
          <w:rFonts w:ascii="Times New Roman" w:eastAsia="宋体" w:hAnsi="Times New Roman" w:cs="Times New Roman"/>
          <w:sz w:val="24"/>
          <w:szCs w:val="24"/>
        </w:rPr>
        <w:t>model.</w:t>
      </w:r>
    </w:p>
    <w:p w:rsidR="00B24FE6" w:rsidRPr="008F3BCD" w:rsidRDefault="00B24FE6" w:rsidP="00B24FE6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Default="0050335A"/>
    <w:sectPr w:rsidR="0050335A" w:rsidSect="003C42FD">
      <w:footerReference w:type="default" r:id="rId6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48" w:rsidRDefault="0050335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defaultTabStop w:val="720"/>
  <w:characterSpacingControl w:val="doNotCompress"/>
  <w:compat>
    <w:useFELayout/>
  </w:compat>
  <w:rsids>
    <w:rsidRoot w:val="00B24FE6"/>
    <w:rsid w:val="0050335A"/>
    <w:rsid w:val="00B2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4FE6"/>
    <w:pPr>
      <w:tabs>
        <w:tab w:val="center" w:pos="4153"/>
        <w:tab w:val="right" w:pos="8306"/>
      </w:tabs>
      <w:adjustRightInd w:val="0"/>
      <w:snapToGrid w:val="0"/>
      <w:spacing w:line="240" w:lineRule="auto"/>
    </w:pPr>
    <w:rPr>
      <w:rFonts w:ascii="Tahoma" w:eastAsia="微软雅黑" w:hAnsi="Tahoma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24FE6"/>
    <w:rPr>
      <w:rFonts w:ascii="Tahoma" w:eastAsia="微软雅黑" w:hAnsi="Tahoma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24FE6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2022-05-05T12:25:00Z</dcterms:created>
  <dcterms:modified xsi:type="dcterms:W3CDTF">2022-05-05T12:25:00Z</dcterms:modified>
</cp:coreProperties>
</file>