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134" w:rightFromText="1134" w:vertAnchor="page" w:horzAnchor="margin" w:tblpY="2677"/>
        <w:tblW w:w="13183" w:type="dxa"/>
        <w:tblLayout w:type="fixed"/>
        <w:tblLook w:val="04A0"/>
      </w:tblPr>
      <w:tblGrid>
        <w:gridCol w:w="3419"/>
        <w:gridCol w:w="1792"/>
        <w:gridCol w:w="993"/>
        <w:gridCol w:w="1701"/>
        <w:gridCol w:w="1026"/>
        <w:gridCol w:w="249"/>
        <w:gridCol w:w="1168"/>
        <w:gridCol w:w="1418"/>
        <w:gridCol w:w="1134"/>
        <w:gridCol w:w="283"/>
      </w:tblGrid>
      <w:tr w:rsidR="001A7384" w:rsidTr="006E45D0">
        <w:trPr>
          <w:cantSplit/>
          <w:trHeight w:val="271"/>
        </w:trPr>
        <w:tc>
          <w:tcPr>
            <w:tcW w:w="3419" w:type="dxa"/>
            <w:vMerge w:val="restart"/>
            <w:tcBorders>
              <w:top w:val="single" w:sz="12" w:space="0" w:color="auto"/>
            </w:tcBorders>
            <w:vAlign w:val="center"/>
          </w:tcPr>
          <w:p w:rsidR="001A7384" w:rsidRDefault="001A7384" w:rsidP="001A7384">
            <w:pPr>
              <w:ind w:firstLineChars="100" w:firstLine="22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bookmarkStart w:id="0" w:name="_Hlk180013373"/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Variables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</w:tcBorders>
            <w:vAlign w:val="center"/>
          </w:tcPr>
          <w:p w:rsidR="001A7384" w:rsidRDefault="001A7384" w:rsidP="006E45D0">
            <w:pPr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Categories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1A7384" w:rsidRDefault="001A7384" w:rsidP="001A7384">
            <w:pPr>
              <w:ind w:firstLineChars="400" w:firstLine="883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Overall survival</w:t>
            </w:r>
          </w:p>
        </w:tc>
        <w:tc>
          <w:tcPr>
            <w:tcW w:w="400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1A7384" w:rsidRDefault="001A7384" w:rsidP="001A7384">
            <w:pPr>
              <w:ind w:firstLineChars="200" w:firstLine="442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Recurrence-free survival</w:t>
            </w:r>
          </w:p>
        </w:tc>
      </w:tr>
      <w:tr w:rsidR="001A7384" w:rsidTr="006E45D0">
        <w:trPr>
          <w:cantSplit/>
          <w:trHeight w:val="123"/>
        </w:trPr>
        <w:tc>
          <w:tcPr>
            <w:tcW w:w="3419" w:type="dxa"/>
            <w:vMerge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92" w:type="dxa"/>
            <w:vMerge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HR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A7384" w:rsidRDefault="001A7384" w:rsidP="001A7384">
            <w:pPr>
              <w:ind w:firstLineChars="100" w:firstLine="221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95% CI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i/>
                <w:color w:val="000000"/>
                <w:szCs w:val="21"/>
              </w:rPr>
              <w:t>P</w:t>
            </w: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 value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A7384" w:rsidRDefault="001A7384" w:rsidP="001A7384">
            <w:pPr>
              <w:ind w:firstLineChars="200" w:firstLine="44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HR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95% CI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1A7384" w:rsidRDefault="001A7384" w:rsidP="001A7384">
            <w:pPr>
              <w:ind w:firstLineChars="100" w:firstLine="221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color w:val="000000"/>
                <w:szCs w:val="21"/>
              </w:rPr>
              <w:t>P</w:t>
            </w: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 value</w:t>
            </w:r>
          </w:p>
        </w:tc>
      </w:tr>
      <w:tr w:rsidR="001A7384" w:rsidTr="006E45D0">
        <w:trPr>
          <w:gridAfter w:val="1"/>
          <w:wAfter w:w="283" w:type="dxa"/>
          <w:cantSplit/>
          <w:trHeight w:val="258"/>
        </w:trPr>
        <w:tc>
          <w:tcPr>
            <w:tcW w:w="12900" w:type="dxa"/>
            <w:gridSpan w:val="9"/>
            <w:tcBorders>
              <w:top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Univariate analysis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Gender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Male / female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1.782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0.536-5.922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0.346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1.164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0.358-3.785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0.800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Age (years)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&gt;50 / </w:t>
            </w:r>
            <w:r>
              <w:rPr>
                <w:rFonts w:ascii="Times New Roman" w:hAnsi="Times New Roman" w:hint="eastAsia"/>
                <w:szCs w:val="21"/>
              </w:rPr>
              <w:t xml:space="preserve">≤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50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0.828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0.460-1.492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0.530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0.764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0.427-1.367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0.365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AFP(</w:t>
            </w:r>
            <w:r w:rsidRPr="00B065BB">
              <w:rPr>
                <w:rFonts w:ascii="Times New Roman" w:hAnsi="Times New Roman" w:cs="Times New Roman"/>
                <w:szCs w:val="21"/>
              </w:rPr>
              <w:t>μg/L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&gt;20 / </w:t>
            </w:r>
            <w:r>
              <w:rPr>
                <w:rFonts w:ascii="Times New Roman" w:hAnsi="Times New Roman" w:hint="eastAsia"/>
                <w:szCs w:val="21"/>
              </w:rPr>
              <w:t xml:space="preserve">≤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0.924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0.474-1.802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0.817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1.016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0.523-1.973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0.963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Liver Cirrhosis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Yes / no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0.572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0.236-1.389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0.218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0.607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0.252-1.460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0.265</w:t>
            </w:r>
          </w:p>
        </w:tc>
      </w:tr>
      <w:tr w:rsidR="001A7384" w:rsidTr="006E45D0">
        <w:trPr>
          <w:cantSplit/>
          <w:trHeight w:val="258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MVI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Yes / no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2.083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1.089-3.983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0.027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1.780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0.955-3.320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0.070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Tumor number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Multiple / Single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0.743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0.341-1.621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0.456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0.937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0.426-2.061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0.871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Tumor size (cm)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&gt;5 / </w:t>
            </w:r>
            <w:r>
              <w:rPr>
                <w:rFonts w:ascii="Times New Roman" w:hAnsi="Times New Roman" w:hint="eastAsia"/>
                <w:szCs w:val="21"/>
              </w:rPr>
              <w:t xml:space="preserve">≤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1.925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1.041-3.561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0.037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2.219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1.181-4.170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0.013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Tumor encapsulation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No / Yes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0.674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0.360-1.262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0.218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0.996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0.536-1.852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0.991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Tumor differentiation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III-IV / I-II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1.256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0.694-2.270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0.451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1.211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0.670-2.188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0.526</w:t>
            </w:r>
          </w:p>
        </w:tc>
      </w:tr>
      <w:tr w:rsidR="001A7384" w:rsidTr="006E45D0">
        <w:trPr>
          <w:cantSplit/>
          <w:trHeight w:val="258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TNM stage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III-IV / I-II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2.307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1.222-4.355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0.010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2.614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1.392-4.910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0.003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BCLC stage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B+C / 0+A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1.678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0.880-3.200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0.116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1.617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0.865-3.022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0.132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HBsAg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Positive / negative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1.394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0.699-2.778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0.345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1.188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0.594-2.376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0.626</w:t>
            </w:r>
          </w:p>
        </w:tc>
      </w:tr>
      <w:tr w:rsidR="001A7384" w:rsidTr="006E45D0">
        <w:trPr>
          <w:cantSplit/>
          <w:trHeight w:val="543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lastRenderedPageBreak/>
              <w:t>Protein level of UFL1</w:t>
            </w:r>
          </w:p>
          <w:p w:rsidR="001A7384" w:rsidRDefault="001A7384" w:rsidP="006E45D0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Protein level of DDRGK1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High / Low</w:t>
            </w:r>
          </w:p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High / Low</w:t>
            </w:r>
          </w:p>
        </w:tc>
        <w:tc>
          <w:tcPr>
            <w:tcW w:w="993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0.633</w:t>
            </w:r>
          </w:p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1.020</w:t>
            </w:r>
          </w:p>
        </w:tc>
        <w:tc>
          <w:tcPr>
            <w:tcW w:w="1701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0.341-1.177</w:t>
            </w:r>
          </w:p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0.548-1.897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0.149</w:t>
            </w:r>
          </w:p>
          <w:p w:rsidR="001A7384" w:rsidRDefault="001A7384" w:rsidP="006E45D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0.950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0.573</w:t>
            </w:r>
          </w:p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1.465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0.303-1.081</w:t>
            </w:r>
          </w:p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0.792-2.710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0.085</w:t>
            </w:r>
          </w:p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0.223</w:t>
            </w:r>
          </w:p>
        </w:tc>
      </w:tr>
      <w:tr w:rsidR="001A7384" w:rsidTr="006E45D0">
        <w:trPr>
          <w:gridAfter w:val="1"/>
          <w:wAfter w:w="283" w:type="dxa"/>
          <w:cantSplit/>
          <w:trHeight w:val="258"/>
        </w:trPr>
        <w:tc>
          <w:tcPr>
            <w:tcW w:w="12900" w:type="dxa"/>
            <w:gridSpan w:val="9"/>
          </w:tcPr>
          <w:p w:rsidR="001A7384" w:rsidRDefault="001A7384" w:rsidP="006E45D0">
            <w:pPr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1A7384" w:rsidTr="006E45D0">
        <w:trPr>
          <w:cantSplit/>
          <w:trHeight w:val="73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Multivariate analysis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</w:tcPr>
          <w:p w:rsidR="001A7384" w:rsidRDefault="001A7384" w:rsidP="001A7384">
            <w:pPr>
              <w:ind w:firstLineChars="200" w:firstLine="44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A7384" w:rsidRDefault="001A7384" w:rsidP="001A7384">
            <w:pPr>
              <w:ind w:firstLineChars="200" w:firstLine="44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</w:rPr>
            </w:pP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MVI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Yes / no</w:t>
            </w:r>
          </w:p>
        </w:tc>
        <w:tc>
          <w:tcPr>
            <w:tcW w:w="993" w:type="dxa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1.812</w:t>
            </w:r>
          </w:p>
        </w:tc>
        <w:tc>
          <w:tcPr>
            <w:tcW w:w="1701" w:type="dxa"/>
          </w:tcPr>
          <w:p w:rsidR="001A7384" w:rsidRDefault="001A7384" w:rsidP="001A7384">
            <w:pPr>
              <w:ind w:firstLineChars="200" w:firstLine="4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0.879-3.737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0.107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1.266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0.590-2.717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</w:rPr>
              <w:t>0.545</w:t>
            </w:r>
          </w:p>
        </w:tc>
      </w:tr>
      <w:tr w:rsidR="001A7384" w:rsidTr="006E45D0">
        <w:trPr>
          <w:cantSplit/>
          <w:trHeight w:val="271"/>
        </w:trPr>
        <w:tc>
          <w:tcPr>
            <w:tcW w:w="3419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Tumor size (cm)</w:t>
            </w:r>
          </w:p>
        </w:tc>
        <w:tc>
          <w:tcPr>
            <w:tcW w:w="1792" w:type="dxa"/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&gt;5 / ≤ 5</w:t>
            </w:r>
          </w:p>
        </w:tc>
        <w:tc>
          <w:tcPr>
            <w:tcW w:w="993" w:type="dxa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1.601</w:t>
            </w:r>
          </w:p>
        </w:tc>
        <w:tc>
          <w:tcPr>
            <w:tcW w:w="1701" w:type="dxa"/>
          </w:tcPr>
          <w:p w:rsidR="001A7384" w:rsidRDefault="001A7384" w:rsidP="001A7384">
            <w:pPr>
              <w:ind w:firstLineChars="200" w:firstLine="4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0.755-3.396</w:t>
            </w:r>
          </w:p>
        </w:tc>
        <w:tc>
          <w:tcPr>
            <w:tcW w:w="1275" w:type="dxa"/>
            <w:gridSpan w:val="2"/>
          </w:tcPr>
          <w:p w:rsidR="001A7384" w:rsidRDefault="001A7384" w:rsidP="006E45D0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0.220</w:t>
            </w:r>
          </w:p>
        </w:tc>
        <w:tc>
          <w:tcPr>
            <w:tcW w:w="116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1.699</w:t>
            </w:r>
          </w:p>
        </w:tc>
        <w:tc>
          <w:tcPr>
            <w:tcW w:w="1418" w:type="dxa"/>
          </w:tcPr>
          <w:p w:rsidR="001A7384" w:rsidRDefault="001A7384" w:rsidP="006E4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0.821-3.516</w:t>
            </w:r>
          </w:p>
        </w:tc>
        <w:tc>
          <w:tcPr>
            <w:tcW w:w="1417" w:type="dxa"/>
            <w:gridSpan w:val="2"/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0.153</w:t>
            </w:r>
          </w:p>
        </w:tc>
      </w:tr>
      <w:tr w:rsidR="001A7384" w:rsidTr="006E45D0">
        <w:trPr>
          <w:cantSplit/>
          <w:trHeight w:val="56"/>
        </w:trPr>
        <w:tc>
          <w:tcPr>
            <w:tcW w:w="3419" w:type="dxa"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TNM stage</w:t>
            </w: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III-IV / I-II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1.395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A7384" w:rsidRDefault="001A7384" w:rsidP="001A7384">
            <w:pPr>
              <w:ind w:firstLineChars="200" w:firstLine="4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0.611-3.182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0.429</w:t>
            </w:r>
          </w:p>
        </w:tc>
        <w:tc>
          <w:tcPr>
            <w:tcW w:w="1168" w:type="dxa"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1.733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A7384" w:rsidRDefault="001A7384" w:rsidP="006E45D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0.726-4.142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1A7384" w:rsidRDefault="001A7384" w:rsidP="001A7384">
            <w:pPr>
              <w:ind w:firstLineChars="100" w:firstLine="2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</w:rPr>
              <w:t>0.216</w:t>
            </w:r>
          </w:p>
        </w:tc>
      </w:tr>
    </w:tbl>
    <w:p w:rsidR="001A7384" w:rsidRDefault="001A7384" w:rsidP="001A7384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Supplementary Table </w:t>
      </w:r>
      <w:r>
        <w:rPr>
          <w:rFonts w:ascii="Times New Roman" w:hAnsi="Times New Roman" w:hint="eastAsia"/>
          <w:b/>
          <w:sz w:val="24"/>
          <w:szCs w:val="28"/>
        </w:rPr>
        <w:t>3</w:t>
      </w:r>
      <w:r>
        <w:rPr>
          <w:rFonts w:ascii="Times New Roman" w:hAnsi="Times New Roman"/>
          <w:b/>
          <w:sz w:val="24"/>
          <w:szCs w:val="28"/>
        </w:rPr>
        <w:t>. Univariate and multivariate analyses of factors associated with prognosis of HCC patients in TMA cohort of Zhongshan.</w:t>
      </w:r>
    </w:p>
    <w:p w:rsidR="001A7384" w:rsidRDefault="001A7384" w:rsidP="001A7384">
      <w:pPr>
        <w:rPr>
          <w:rFonts w:ascii="Times New Roman" w:hAnsi="Times New Roman"/>
          <w:sz w:val="24"/>
          <w:szCs w:val="24"/>
        </w:rPr>
      </w:pPr>
      <w:r w:rsidRPr="00BD7AB1">
        <w:rPr>
          <w:rFonts w:ascii="Times New Roman" w:hAnsi="Times New Roman" w:cs="Times New Roman" w:hint="eastAsia"/>
          <w:sz w:val="24"/>
          <w:szCs w:val="24"/>
        </w:rPr>
        <w:t>Abbreviations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AFP, alpha-fetoprotein; MVI, Microvascular invasion; TNM, tumor-node-metastasis;</w:t>
      </w:r>
      <w:r w:rsidRPr="00B065BB">
        <w:rPr>
          <w:rFonts w:ascii="Times New Roman" w:hAnsi="Times New Roman" w:hint="eastAsia"/>
          <w:szCs w:val="21"/>
        </w:rPr>
        <w:t xml:space="preserve"> </w:t>
      </w:r>
      <w:r w:rsidRPr="00B065BB">
        <w:rPr>
          <w:rFonts w:ascii="Times New Roman" w:hAnsi="Times New Roman" w:hint="eastAsia"/>
          <w:sz w:val="24"/>
          <w:szCs w:val="24"/>
        </w:rPr>
        <w:t xml:space="preserve">BCLC, </w:t>
      </w:r>
      <w:r w:rsidRPr="00B065BB">
        <w:rPr>
          <w:rFonts w:ascii="Times New Roman" w:hAnsi="Times New Roman"/>
          <w:sz w:val="24"/>
          <w:szCs w:val="24"/>
        </w:rPr>
        <w:t>Barcelona Clinic Liver</w:t>
      </w:r>
      <w:r w:rsidRPr="00B065BB">
        <w:rPr>
          <w:rFonts w:ascii="Times New Roman" w:hAnsi="Times New Roman" w:hint="eastAsia"/>
          <w:sz w:val="24"/>
          <w:szCs w:val="24"/>
        </w:rPr>
        <w:t xml:space="preserve"> </w:t>
      </w:r>
      <w:r w:rsidRPr="00B065BB">
        <w:rPr>
          <w:rFonts w:ascii="Times New Roman" w:hAnsi="Times New Roman"/>
          <w:sz w:val="24"/>
          <w:szCs w:val="24"/>
        </w:rPr>
        <w:t>Cancer</w:t>
      </w:r>
      <w:r>
        <w:rPr>
          <w:rFonts w:ascii="Times New Roman" w:hAnsi="Times New Roman" w:hint="eastAsia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HR, hazard ratio; 95% CI, 95% confidence interval. A value of </w:t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&lt; 0.05 was considered to be significant.</w:t>
      </w:r>
      <w:bookmarkEnd w:id="0"/>
    </w:p>
    <w:p w:rsidR="00652337" w:rsidRDefault="00652337"/>
    <w:sectPr w:rsidR="00652337" w:rsidSect="00A61C3F">
      <w:foot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6A" w:rsidRDefault="000B156A" w:rsidP="001F1BEA">
      <w:pPr>
        <w:spacing w:after="0" w:line="240" w:lineRule="auto"/>
      </w:pPr>
      <w:r>
        <w:separator/>
      </w:r>
    </w:p>
  </w:endnote>
  <w:endnote w:type="continuationSeparator" w:id="1">
    <w:p w:rsidR="000B156A" w:rsidRDefault="000B156A" w:rsidP="001F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42548"/>
    </w:sdtPr>
    <w:sdtContent>
      <w:p w:rsidR="008A33D1" w:rsidRDefault="00A46129">
        <w:pPr>
          <w:pStyle w:val="Footer"/>
          <w:jc w:val="center"/>
        </w:pPr>
        <w:r>
          <w:fldChar w:fldCharType="begin"/>
        </w:r>
        <w:r w:rsidR="00652337">
          <w:instrText>PAGE   \* MERGEFORMAT</w:instrText>
        </w:r>
        <w:r>
          <w:fldChar w:fldCharType="separate"/>
        </w:r>
        <w:r w:rsidR="00A61C3F" w:rsidRPr="00A61C3F">
          <w:rPr>
            <w:noProof/>
            <w:lang w:val="zh-CN"/>
          </w:rPr>
          <w:t>1</w:t>
        </w:r>
        <w:r>
          <w:fldChar w:fldCharType="end"/>
        </w:r>
      </w:p>
    </w:sdtContent>
  </w:sdt>
  <w:p w:rsidR="008A33D1" w:rsidRDefault="000B1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6A" w:rsidRDefault="000B156A" w:rsidP="001F1BEA">
      <w:pPr>
        <w:spacing w:after="0" w:line="240" w:lineRule="auto"/>
      </w:pPr>
      <w:r>
        <w:separator/>
      </w:r>
    </w:p>
  </w:footnote>
  <w:footnote w:type="continuationSeparator" w:id="1">
    <w:p w:rsidR="000B156A" w:rsidRDefault="000B156A" w:rsidP="001F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384"/>
    <w:rsid w:val="000B156A"/>
    <w:rsid w:val="00191E2C"/>
    <w:rsid w:val="001A7384"/>
    <w:rsid w:val="001F1BEA"/>
    <w:rsid w:val="00553221"/>
    <w:rsid w:val="00652337"/>
    <w:rsid w:val="00A46129"/>
    <w:rsid w:val="00A6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A738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A7384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4</cp:revision>
  <dcterms:created xsi:type="dcterms:W3CDTF">2025-10-17T01:27:00Z</dcterms:created>
  <dcterms:modified xsi:type="dcterms:W3CDTF">2025-10-17T01:28:00Z</dcterms:modified>
</cp:coreProperties>
</file>