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D2" w:rsidRDefault="000301D2" w:rsidP="000301D2">
      <w:pPr>
        <w:rPr>
          <w:rFonts w:ascii="Times New Roman" w:hAnsi="Times New Roman" w:cs="Times New Roman"/>
        </w:rPr>
      </w:pPr>
    </w:p>
    <w:p w:rsidR="000301D2" w:rsidRDefault="000301D2" w:rsidP="000301D2">
      <w:pPr>
        <w:rPr>
          <w:rFonts w:ascii="Times New Roman" w:hAnsi="Times New Roman" w:cs="Times New Roman"/>
          <w:sz w:val="24"/>
          <w:vertAlign w:val="superscript"/>
        </w:rPr>
      </w:pPr>
      <w:r>
        <w:rPr>
          <w:rFonts w:ascii="Times New Roman" w:hAnsi="Times New Roman" w:cs="Times New Roman" w:hint="eastAsia"/>
          <w:b/>
          <w:bCs/>
          <w:sz w:val="24"/>
        </w:rPr>
        <w:t>Supplementary</w:t>
      </w:r>
      <w:r>
        <w:rPr>
          <w:rFonts w:ascii="Times New Roman" w:hAnsi="Times New Roman" w:cs="Times New Roman"/>
          <w:b/>
          <w:bCs/>
          <w:sz w:val="24"/>
        </w:rPr>
        <w:t xml:space="preserve"> Table 3. </w:t>
      </w:r>
      <w:r>
        <w:rPr>
          <w:rFonts w:ascii="Times New Roman" w:hAnsi="Times New Roman" w:cs="Times New Roman"/>
          <w:sz w:val="24"/>
        </w:rPr>
        <w:t>Univariate and multivariate analyses of baseline factors associated with SVR12 in patients with HCV GT2</w:t>
      </w:r>
      <w:r>
        <w:rPr>
          <w:rFonts w:ascii="Times New Roman" w:hAnsi="Times New Roman" w:cs="Times New Roman"/>
          <w:sz w:val="24"/>
          <w:vertAlign w:val="superscript"/>
        </w:rPr>
        <w:t>§</w:t>
      </w:r>
    </w:p>
    <w:tbl>
      <w:tblPr>
        <w:tblStyle w:val="TableGrid"/>
        <w:tblW w:w="48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1"/>
        <w:gridCol w:w="1783"/>
        <w:gridCol w:w="1838"/>
        <w:gridCol w:w="965"/>
        <w:gridCol w:w="1534"/>
        <w:gridCol w:w="1130"/>
      </w:tblGrid>
      <w:tr w:rsidR="000301D2" w:rsidTr="006010AE">
        <w:tc>
          <w:tcPr>
            <w:tcW w:w="1810" w:type="pct"/>
            <w:gridSpan w:val="2"/>
            <w:tcBorders>
              <w:top w:val="single" w:sz="12" w:space="0" w:color="auto"/>
            </w:tcBorders>
            <w:shd w:val="clear" w:color="auto" w:fill="B8CCE4" w:themeFill="accent1" w:themeFillTint="66"/>
          </w:tcPr>
          <w:p w:rsidR="000301D2" w:rsidRDefault="000301D2" w:rsidP="006010AE"/>
        </w:tc>
        <w:tc>
          <w:tcPr>
            <w:tcW w:w="1635" w:type="pct"/>
            <w:gridSpan w:val="2"/>
            <w:tcBorders>
              <w:top w:val="single" w:sz="12" w:space="0" w:color="auto"/>
              <w:bottom w:val="single" w:sz="8" w:space="0" w:color="auto"/>
            </w:tcBorders>
            <w:shd w:val="clear" w:color="auto" w:fill="B8CCE4" w:themeFill="accent1" w:themeFillTint="66"/>
          </w:tcPr>
          <w:p w:rsidR="000301D2" w:rsidRDefault="000301D2" w:rsidP="006010AE">
            <w:r>
              <w:t>Univariate analysis</w:t>
            </w:r>
          </w:p>
        </w:tc>
        <w:tc>
          <w:tcPr>
            <w:tcW w:w="1554" w:type="pct"/>
            <w:gridSpan w:val="2"/>
            <w:tcBorders>
              <w:top w:val="single" w:sz="12" w:space="0" w:color="auto"/>
              <w:bottom w:val="single" w:sz="8" w:space="0" w:color="auto"/>
            </w:tcBorders>
            <w:shd w:val="clear" w:color="auto" w:fill="B8CCE4" w:themeFill="accent1" w:themeFillTint="66"/>
          </w:tcPr>
          <w:p w:rsidR="000301D2" w:rsidRDefault="000301D2" w:rsidP="006010AE">
            <w:r>
              <w:t>Multivariate analysis</w:t>
            </w:r>
          </w:p>
        </w:tc>
      </w:tr>
      <w:tr w:rsidR="000301D2" w:rsidTr="006010AE">
        <w:tc>
          <w:tcPr>
            <w:tcW w:w="770" w:type="pct"/>
            <w:tcBorders>
              <w:bottom w:val="single" w:sz="8" w:space="0" w:color="auto"/>
            </w:tcBorders>
            <w:shd w:val="clear" w:color="auto" w:fill="B8CCE4" w:themeFill="accent1" w:themeFillTint="66"/>
          </w:tcPr>
          <w:p w:rsidR="000301D2" w:rsidRDefault="000301D2" w:rsidP="006010AE">
            <w:r>
              <w:t>Factors</w:t>
            </w:r>
          </w:p>
        </w:tc>
        <w:tc>
          <w:tcPr>
            <w:tcW w:w="1039" w:type="pct"/>
            <w:tcBorders>
              <w:bottom w:val="single" w:sz="8" w:space="0" w:color="auto"/>
            </w:tcBorders>
            <w:shd w:val="clear" w:color="auto" w:fill="B8CCE4" w:themeFill="accent1" w:themeFillTint="66"/>
          </w:tcPr>
          <w:p w:rsidR="000301D2" w:rsidRDefault="000301D2" w:rsidP="006010AE">
            <w:r>
              <w:t>Category</w:t>
            </w:r>
          </w:p>
        </w:tc>
        <w:tc>
          <w:tcPr>
            <w:tcW w:w="1072" w:type="pct"/>
            <w:tcBorders>
              <w:top w:val="single" w:sz="8" w:space="0" w:color="auto"/>
              <w:bottom w:val="single" w:sz="8" w:space="0" w:color="auto"/>
            </w:tcBorders>
            <w:shd w:val="clear" w:color="auto" w:fill="B8CCE4" w:themeFill="accent1" w:themeFillTint="66"/>
          </w:tcPr>
          <w:p w:rsidR="000301D2" w:rsidRDefault="000301D2" w:rsidP="006010AE">
            <w:r>
              <w:t>Odds Ratio (95% CI)</w:t>
            </w:r>
          </w:p>
        </w:tc>
        <w:tc>
          <w:tcPr>
            <w:tcW w:w="563" w:type="pct"/>
            <w:tcBorders>
              <w:top w:val="single" w:sz="8" w:space="0" w:color="auto"/>
              <w:bottom w:val="single" w:sz="8" w:space="0" w:color="auto"/>
            </w:tcBorders>
            <w:shd w:val="clear" w:color="auto" w:fill="B8CCE4" w:themeFill="accent1" w:themeFillTint="66"/>
          </w:tcPr>
          <w:p w:rsidR="000301D2" w:rsidRDefault="000301D2" w:rsidP="006010AE">
            <w:r>
              <w:rPr>
                <w:i/>
                <w:iCs/>
              </w:rPr>
              <w:t>p</w:t>
            </w:r>
            <w:r>
              <w:t>-Value</w:t>
            </w:r>
          </w:p>
        </w:tc>
        <w:tc>
          <w:tcPr>
            <w:tcW w:w="895" w:type="pct"/>
            <w:tcBorders>
              <w:top w:val="single" w:sz="8" w:space="0" w:color="auto"/>
              <w:bottom w:val="single" w:sz="8" w:space="0" w:color="auto"/>
            </w:tcBorders>
            <w:shd w:val="clear" w:color="auto" w:fill="B8CCE4" w:themeFill="accent1" w:themeFillTint="66"/>
          </w:tcPr>
          <w:p w:rsidR="000301D2" w:rsidRDefault="000301D2" w:rsidP="006010AE">
            <w:r>
              <w:t>Odds Ratio (95% CI)</w:t>
            </w:r>
          </w:p>
        </w:tc>
        <w:tc>
          <w:tcPr>
            <w:tcW w:w="658" w:type="pct"/>
            <w:tcBorders>
              <w:top w:val="single" w:sz="8" w:space="0" w:color="auto"/>
              <w:bottom w:val="single" w:sz="8" w:space="0" w:color="auto"/>
            </w:tcBorders>
            <w:shd w:val="clear" w:color="auto" w:fill="B8CCE4" w:themeFill="accent1" w:themeFillTint="66"/>
          </w:tcPr>
          <w:p w:rsidR="000301D2" w:rsidRDefault="000301D2" w:rsidP="006010AE">
            <w:r>
              <w:rPr>
                <w:i/>
                <w:iCs/>
              </w:rPr>
              <w:t>p</w:t>
            </w:r>
            <w:r>
              <w:t>-Value</w:t>
            </w:r>
          </w:p>
        </w:tc>
      </w:tr>
      <w:tr w:rsidR="000301D2" w:rsidTr="006010AE">
        <w:tc>
          <w:tcPr>
            <w:tcW w:w="770" w:type="pct"/>
            <w:tcBorders>
              <w:top w:val="single" w:sz="8" w:space="0" w:color="auto"/>
            </w:tcBorders>
          </w:tcPr>
          <w:p w:rsidR="000301D2" w:rsidRDefault="000301D2" w:rsidP="006010AE">
            <w:r>
              <w:t>Age, years</w:t>
            </w:r>
          </w:p>
        </w:tc>
        <w:tc>
          <w:tcPr>
            <w:tcW w:w="1039" w:type="pct"/>
            <w:tcBorders>
              <w:top w:val="single" w:sz="8" w:space="0" w:color="auto"/>
            </w:tcBorders>
          </w:tcPr>
          <w:p w:rsidR="000301D2" w:rsidRDefault="000301D2" w:rsidP="006010AE">
            <w:r>
              <w:t>≤ 60</w:t>
            </w:r>
          </w:p>
        </w:tc>
        <w:tc>
          <w:tcPr>
            <w:tcW w:w="1072" w:type="pct"/>
            <w:tcBorders>
              <w:top w:val="single" w:sz="8" w:space="0" w:color="auto"/>
            </w:tcBorders>
          </w:tcPr>
          <w:p w:rsidR="000301D2" w:rsidRDefault="000301D2" w:rsidP="006010AE">
            <w:r>
              <w:t>1 (Referent)</w:t>
            </w:r>
          </w:p>
        </w:tc>
        <w:tc>
          <w:tcPr>
            <w:tcW w:w="563" w:type="pct"/>
            <w:tcBorders>
              <w:top w:val="single" w:sz="8" w:space="0" w:color="auto"/>
            </w:tcBorders>
          </w:tcPr>
          <w:p w:rsidR="000301D2" w:rsidRDefault="000301D2" w:rsidP="006010AE"/>
        </w:tc>
        <w:tc>
          <w:tcPr>
            <w:tcW w:w="895" w:type="pct"/>
            <w:tcBorders>
              <w:top w:val="single" w:sz="8" w:space="0" w:color="auto"/>
            </w:tcBorders>
          </w:tcPr>
          <w:p w:rsidR="000301D2" w:rsidRDefault="000301D2" w:rsidP="006010AE">
            <w:r>
              <w:t>1 (Referent)</w:t>
            </w:r>
          </w:p>
        </w:tc>
        <w:tc>
          <w:tcPr>
            <w:tcW w:w="658" w:type="pct"/>
            <w:tcBorders>
              <w:top w:val="single" w:sz="8" w:space="0" w:color="auto"/>
            </w:tcBorders>
          </w:tcPr>
          <w:p w:rsidR="000301D2" w:rsidRDefault="000301D2" w:rsidP="006010AE"/>
        </w:tc>
      </w:tr>
      <w:tr w:rsidR="000301D2" w:rsidTr="006010AE">
        <w:tc>
          <w:tcPr>
            <w:tcW w:w="770" w:type="pct"/>
          </w:tcPr>
          <w:p w:rsidR="000301D2" w:rsidRDefault="000301D2" w:rsidP="006010AE"/>
        </w:tc>
        <w:tc>
          <w:tcPr>
            <w:tcW w:w="1039" w:type="pct"/>
          </w:tcPr>
          <w:p w:rsidR="000301D2" w:rsidRDefault="000301D2" w:rsidP="006010AE">
            <w:r>
              <w:t>&gt; 60</w:t>
            </w:r>
          </w:p>
        </w:tc>
        <w:tc>
          <w:tcPr>
            <w:tcW w:w="1072" w:type="pct"/>
          </w:tcPr>
          <w:p w:rsidR="000301D2" w:rsidRDefault="000301D2" w:rsidP="006010AE">
            <w:r>
              <w:t>0.66 (0.45-0.97)</w:t>
            </w:r>
          </w:p>
        </w:tc>
        <w:tc>
          <w:tcPr>
            <w:tcW w:w="563" w:type="pct"/>
          </w:tcPr>
          <w:p w:rsidR="000301D2" w:rsidRDefault="000301D2" w:rsidP="006010AE">
            <w:r>
              <w:t>0.03</w:t>
            </w:r>
          </w:p>
        </w:tc>
        <w:tc>
          <w:tcPr>
            <w:tcW w:w="895" w:type="pct"/>
          </w:tcPr>
          <w:p w:rsidR="000301D2" w:rsidRDefault="000301D2" w:rsidP="006010AE">
            <w:r>
              <w:t>0.90 (0.60-1.36)</w:t>
            </w:r>
          </w:p>
        </w:tc>
        <w:tc>
          <w:tcPr>
            <w:tcW w:w="658" w:type="pct"/>
          </w:tcPr>
          <w:p w:rsidR="000301D2" w:rsidRDefault="000301D2" w:rsidP="006010AE">
            <w:r>
              <w:t>0.63</w:t>
            </w:r>
          </w:p>
        </w:tc>
      </w:tr>
      <w:tr w:rsidR="000301D2" w:rsidTr="006010AE">
        <w:tc>
          <w:tcPr>
            <w:tcW w:w="770" w:type="pct"/>
            <w:shd w:val="clear" w:color="auto" w:fill="B8CCE4" w:themeFill="accent1" w:themeFillTint="66"/>
          </w:tcPr>
          <w:p w:rsidR="000301D2" w:rsidRDefault="000301D2" w:rsidP="006010AE">
            <w:r>
              <w:t>Sex</w:t>
            </w:r>
          </w:p>
        </w:tc>
        <w:tc>
          <w:tcPr>
            <w:tcW w:w="1039" w:type="pct"/>
            <w:shd w:val="clear" w:color="auto" w:fill="B8CCE4" w:themeFill="accent1" w:themeFillTint="66"/>
          </w:tcPr>
          <w:p w:rsidR="000301D2" w:rsidRDefault="000301D2" w:rsidP="006010AE">
            <w:r>
              <w:t>Female</w:t>
            </w:r>
          </w:p>
        </w:tc>
        <w:tc>
          <w:tcPr>
            <w:tcW w:w="1072" w:type="pct"/>
            <w:shd w:val="clear" w:color="auto" w:fill="B8CCE4" w:themeFill="accent1" w:themeFillTint="66"/>
          </w:tcPr>
          <w:p w:rsidR="000301D2" w:rsidRDefault="000301D2" w:rsidP="006010AE">
            <w:r>
              <w:t>1 (Referent)</w:t>
            </w:r>
          </w:p>
        </w:tc>
        <w:tc>
          <w:tcPr>
            <w:tcW w:w="563" w:type="pct"/>
            <w:shd w:val="clear" w:color="auto" w:fill="B8CCE4" w:themeFill="accent1" w:themeFillTint="66"/>
          </w:tcPr>
          <w:p w:rsidR="000301D2" w:rsidRDefault="000301D2" w:rsidP="006010AE">
            <w:pPr>
              <w:tabs>
                <w:tab w:val="center" w:pos="1054"/>
              </w:tabs>
            </w:pPr>
          </w:p>
        </w:tc>
        <w:tc>
          <w:tcPr>
            <w:tcW w:w="895" w:type="pct"/>
            <w:shd w:val="clear" w:color="auto" w:fill="B8CCE4" w:themeFill="accent1" w:themeFillTint="66"/>
          </w:tcPr>
          <w:p w:rsidR="000301D2" w:rsidRDefault="000301D2" w:rsidP="006010AE">
            <w:r>
              <w:t>1 (Referent)</w:t>
            </w:r>
          </w:p>
        </w:tc>
        <w:tc>
          <w:tcPr>
            <w:tcW w:w="658" w:type="pct"/>
            <w:shd w:val="clear" w:color="auto" w:fill="B8CCE4" w:themeFill="accent1" w:themeFillTint="66"/>
          </w:tcPr>
          <w:p w:rsidR="000301D2" w:rsidRDefault="000301D2" w:rsidP="006010AE"/>
        </w:tc>
      </w:tr>
      <w:tr w:rsidR="000301D2" w:rsidTr="006010AE">
        <w:tc>
          <w:tcPr>
            <w:tcW w:w="770" w:type="pct"/>
            <w:shd w:val="clear" w:color="auto" w:fill="B8CCE4" w:themeFill="accent1" w:themeFillTint="66"/>
          </w:tcPr>
          <w:p w:rsidR="000301D2" w:rsidRDefault="000301D2" w:rsidP="006010AE"/>
        </w:tc>
        <w:tc>
          <w:tcPr>
            <w:tcW w:w="1039" w:type="pct"/>
            <w:shd w:val="clear" w:color="auto" w:fill="B8CCE4" w:themeFill="accent1" w:themeFillTint="66"/>
          </w:tcPr>
          <w:p w:rsidR="000301D2" w:rsidRDefault="000301D2" w:rsidP="006010AE">
            <w:r>
              <w:t>Male</w:t>
            </w:r>
          </w:p>
        </w:tc>
        <w:tc>
          <w:tcPr>
            <w:tcW w:w="1072" w:type="pct"/>
            <w:shd w:val="clear" w:color="auto" w:fill="B8CCE4" w:themeFill="accent1" w:themeFillTint="66"/>
          </w:tcPr>
          <w:p w:rsidR="000301D2" w:rsidRDefault="000301D2" w:rsidP="006010AE">
            <w:r>
              <w:t>1.19 (0.83-1.71)</w:t>
            </w:r>
          </w:p>
        </w:tc>
        <w:tc>
          <w:tcPr>
            <w:tcW w:w="563" w:type="pct"/>
            <w:shd w:val="clear" w:color="auto" w:fill="B8CCE4" w:themeFill="accent1" w:themeFillTint="66"/>
          </w:tcPr>
          <w:p w:rsidR="000301D2" w:rsidRDefault="000301D2" w:rsidP="006010AE">
            <w:pPr>
              <w:tabs>
                <w:tab w:val="center" w:pos="1054"/>
              </w:tabs>
            </w:pPr>
            <w:r>
              <w:t xml:space="preserve">0.35  </w:t>
            </w:r>
          </w:p>
        </w:tc>
        <w:tc>
          <w:tcPr>
            <w:tcW w:w="895" w:type="pct"/>
            <w:shd w:val="clear" w:color="auto" w:fill="B8CCE4" w:themeFill="accent1" w:themeFillTint="66"/>
          </w:tcPr>
          <w:p w:rsidR="000301D2" w:rsidRDefault="000301D2" w:rsidP="006010AE">
            <w:r>
              <w:t>1.33 (0.91-1.94)</w:t>
            </w:r>
          </w:p>
        </w:tc>
        <w:tc>
          <w:tcPr>
            <w:tcW w:w="658" w:type="pct"/>
            <w:shd w:val="clear" w:color="auto" w:fill="B8CCE4" w:themeFill="accent1" w:themeFillTint="66"/>
          </w:tcPr>
          <w:p w:rsidR="000301D2" w:rsidRDefault="000301D2" w:rsidP="006010AE">
            <w:r>
              <w:t>0.15</w:t>
            </w:r>
          </w:p>
        </w:tc>
      </w:tr>
      <w:tr w:rsidR="000301D2" w:rsidTr="006010AE">
        <w:tc>
          <w:tcPr>
            <w:tcW w:w="770" w:type="pct"/>
          </w:tcPr>
          <w:p w:rsidR="000301D2" w:rsidRDefault="000301D2" w:rsidP="006010AE">
            <w:r>
              <w:t>Ethnicity</w:t>
            </w:r>
          </w:p>
        </w:tc>
        <w:tc>
          <w:tcPr>
            <w:tcW w:w="1039" w:type="pct"/>
          </w:tcPr>
          <w:p w:rsidR="000301D2" w:rsidRDefault="000301D2" w:rsidP="006010AE">
            <w:r>
              <w:t>Non-Asian</w:t>
            </w:r>
          </w:p>
        </w:tc>
        <w:tc>
          <w:tcPr>
            <w:tcW w:w="1072" w:type="pct"/>
          </w:tcPr>
          <w:p w:rsidR="000301D2" w:rsidRDefault="000301D2" w:rsidP="006010AE">
            <w:r>
              <w:t>1 (Referent)</w:t>
            </w:r>
          </w:p>
        </w:tc>
        <w:tc>
          <w:tcPr>
            <w:tcW w:w="563" w:type="pct"/>
          </w:tcPr>
          <w:p w:rsidR="000301D2" w:rsidRDefault="000301D2" w:rsidP="006010AE"/>
        </w:tc>
        <w:tc>
          <w:tcPr>
            <w:tcW w:w="895" w:type="pct"/>
          </w:tcPr>
          <w:p w:rsidR="000301D2" w:rsidRDefault="000301D2" w:rsidP="006010AE">
            <w:r>
              <w:t>1 (Referent)</w:t>
            </w:r>
          </w:p>
        </w:tc>
        <w:tc>
          <w:tcPr>
            <w:tcW w:w="658" w:type="pct"/>
          </w:tcPr>
          <w:p w:rsidR="000301D2" w:rsidRDefault="000301D2" w:rsidP="006010AE"/>
        </w:tc>
      </w:tr>
      <w:tr w:rsidR="000301D2" w:rsidTr="006010AE">
        <w:tc>
          <w:tcPr>
            <w:tcW w:w="770" w:type="pct"/>
          </w:tcPr>
          <w:p w:rsidR="000301D2" w:rsidRDefault="000301D2" w:rsidP="006010AE"/>
        </w:tc>
        <w:tc>
          <w:tcPr>
            <w:tcW w:w="1039" w:type="pct"/>
          </w:tcPr>
          <w:p w:rsidR="000301D2" w:rsidRDefault="000301D2" w:rsidP="006010AE">
            <w:r>
              <w:t>Asian</w:t>
            </w:r>
          </w:p>
        </w:tc>
        <w:tc>
          <w:tcPr>
            <w:tcW w:w="1072" w:type="pct"/>
          </w:tcPr>
          <w:p w:rsidR="000301D2" w:rsidRDefault="000301D2" w:rsidP="006010AE">
            <w:r>
              <w:t>2.54 (1.08-5.96)</w:t>
            </w:r>
          </w:p>
        </w:tc>
        <w:tc>
          <w:tcPr>
            <w:tcW w:w="563" w:type="pct"/>
          </w:tcPr>
          <w:p w:rsidR="000301D2" w:rsidRDefault="000301D2" w:rsidP="006010AE">
            <w:r>
              <w:t>0.03</w:t>
            </w:r>
          </w:p>
        </w:tc>
        <w:tc>
          <w:tcPr>
            <w:tcW w:w="895" w:type="pct"/>
          </w:tcPr>
          <w:p w:rsidR="000301D2" w:rsidRDefault="000301D2" w:rsidP="006010AE">
            <w:r>
              <w:t>2.57 (1.03-6.42)</w:t>
            </w:r>
          </w:p>
        </w:tc>
        <w:tc>
          <w:tcPr>
            <w:tcW w:w="658" w:type="pct"/>
          </w:tcPr>
          <w:p w:rsidR="000301D2" w:rsidRDefault="000301D2" w:rsidP="006010AE">
            <w:r>
              <w:t>0.04</w:t>
            </w:r>
          </w:p>
        </w:tc>
      </w:tr>
      <w:tr w:rsidR="000301D2" w:rsidTr="006010AE">
        <w:tc>
          <w:tcPr>
            <w:tcW w:w="770" w:type="pct"/>
            <w:shd w:val="clear" w:color="auto" w:fill="B8CCE4" w:themeFill="accent1" w:themeFillTint="66"/>
          </w:tcPr>
          <w:p w:rsidR="000301D2" w:rsidRDefault="000301D2" w:rsidP="006010AE">
            <w:r>
              <w:t>Prior treatment</w:t>
            </w:r>
          </w:p>
        </w:tc>
        <w:tc>
          <w:tcPr>
            <w:tcW w:w="1039" w:type="pct"/>
            <w:shd w:val="clear" w:color="auto" w:fill="B8CCE4" w:themeFill="accent1" w:themeFillTint="66"/>
          </w:tcPr>
          <w:p w:rsidR="000301D2" w:rsidRDefault="000301D2" w:rsidP="006010AE">
            <w:r>
              <w:t>No</w:t>
            </w:r>
          </w:p>
        </w:tc>
        <w:tc>
          <w:tcPr>
            <w:tcW w:w="1072" w:type="pct"/>
            <w:shd w:val="clear" w:color="auto" w:fill="B8CCE4" w:themeFill="accent1" w:themeFillTint="66"/>
          </w:tcPr>
          <w:p w:rsidR="000301D2" w:rsidRDefault="000301D2" w:rsidP="006010AE">
            <w:r>
              <w:t>1 (Referent)</w:t>
            </w:r>
          </w:p>
        </w:tc>
        <w:tc>
          <w:tcPr>
            <w:tcW w:w="563" w:type="pct"/>
            <w:shd w:val="clear" w:color="auto" w:fill="B8CCE4" w:themeFill="accent1" w:themeFillTint="66"/>
          </w:tcPr>
          <w:p w:rsidR="000301D2" w:rsidRDefault="000301D2" w:rsidP="006010AE"/>
        </w:tc>
        <w:tc>
          <w:tcPr>
            <w:tcW w:w="895" w:type="pct"/>
            <w:shd w:val="clear" w:color="auto" w:fill="B8CCE4" w:themeFill="accent1" w:themeFillTint="66"/>
          </w:tcPr>
          <w:p w:rsidR="000301D2" w:rsidRDefault="000301D2" w:rsidP="006010AE">
            <w:r>
              <w:t>1 (Referent)</w:t>
            </w:r>
          </w:p>
        </w:tc>
        <w:tc>
          <w:tcPr>
            <w:tcW w:w="658" w:type="pct"/>
            <w:shd w:val="clear" w:color="auto" w:fill="B8CCE4" w:themeFill="accent1" w:themeFillTint="66"/>
          </w:tcPr>
          <w:p w:rsidR="000301D2" w:rsidRDefault="000301D2" w:rsidP="006010AE"/>
        </w:tc>
      </w:tr>
      <w:tr w:rsidR="000301D2" w:rsidTr="006010AE">
        <w:tc>
          <w:tcPr>
            <w:tcW w:w="770" w:type="pct"/>
            <w:shd w:val="clear" w:color="auto" w:fill="B8CCE4" w:themeFill="accent1" w:themeFillTint="66"/>
          </w:tcPr>
          <w:p w:rsidR="000301D2" w:rsidRDefault="000301D2" w:rsidP="006010AE"/>
        </w:tc>
        <w:tc>
          <w:tcPr>
            <w:tcW w:w="1039" w:type="pct"/>
            <w:shd w:val="clear" w:color="auto" w:fill="B8CCE4" w:themeFill="accent1" w:themeFillTint="66"/>
          </w:tcPr>
          <w:p w:rsidR="000301D2" w:rsidRDefault="000301D2" w:rsidP="006010AE">
            <w:r>
              <w:t>Yes</w:t>
            </w:r>
          </w:p>
        </w:tc>
        <w:tc>
          <w:tcPr>
            <w:tcW w:w="1072" w:type="pct"/>
            <w:shd w:val="clear" w:color="auto" w:fill="B8CCE4" w:themeFill="accent1" w:themeFillTint="66"/>
          </w:tcPr>
          <w:p w:rsidR="000301D2" w:rsidRDefault="000301D2" w:rsidP="006010AE">
            <w:r>
              <w:t>0.60 (0.40-0.90)</w:t>
            </w:r>
          </w:p>
        </w:tc>
        <w:tc>
          <w:tcPr>
            <w:tcW w:w="563" w:type="pct"/>
            <w:shd w:val="clear" w:color="auto" w:fill="B8CCE4" w:themeFill="accent1" w:themeFillTint="66"/>
          </w:tcPr>
          <w:p w:rsidR="000301D2" w:rsidRDefault="000301D2" w:rsidP="006010AE">
            <w:r>
              <w:t>0.01</w:t>
            </w:r>
          </w:p>
        </w:tc>
        <w:tc>
          <w:tcPr>
            <w:tcW w:w="895" w:type="pct"/>
            <w:shd w:val="clear" w:color="auto" w:fill="B8CCE4" w:themeFill="accent1" w:themeFillTint="66"/>
          </w:tcPr>
          <w:p w:rsidR="000301D2" w:rsidRDefault="000301D2" w:rsidP="006010AE">
            <w:r>
              <w:t>0.69 (0.45-1.06)</w:t>
            </w:r>
          </w:p>
        </w:tc>
        <w:tc>
          <w:tcPr>
            <w:tcW w:w="658" w:type="pct"/>
            <w:shd w:val="clear" w:color="auto" w:fill="B8CCE4" w:themeFill="accent1" w:themeFillTint="66"/>
          </w:tcPr>
          <w:p w:rsidR="000301D2" w:rsidRDefault="000301D2" w:rsidP="006010AE">
            <w:r>
              <w:t>0.09</w:t>
            </w:r>
          </w:p>
        </w:tc>
      </w:tr>
      <w:tr w:rsidR="000301D2" w:rsidTr="006010AE">
        <w:tc>
          <w:tcPr>
            <w:tcW w:w="770" w:type="pct"/>
          </w:tcPr>
          <w:p w:rsidR="000301D2" w:rsidRDefault="000301D2" w:rsidP="006010AE">
            <w:r>
              <w:t>Liver fibrosis</w:t>
            </w:r>
          </w:p>
        </w:tc>
        <w:tc>
          <w:tcPr>
            <w:tcW w:w="1039" w:type="pct"/>
          </w:tcPr>
          <w:p w:rsidR="000301D2" w:rsidRDefault="000301D2" w:rsidP="006010AE">
            <w:r>
              <w:t>Non cirrhosis</w:t>
            </w:r>
          </w:p>
        </w:tc>
        <w:tc>
          <w:tcPr>
            <w:tcW w:w="1072" w:type="pct"/>
          </w:tcPr>
          <w:p w:rsidR="000301D2" w:rsidRDefault="000301D2" w:rsidP="006010AE">
            <w:r>
              <w:t>1 (Referent)</w:t>
            </w:r>
          </w:p>
        </w:tc>
        <w:tc>
          <w:tcPr>
            <w:tcW w:w="563" w:type="pct"/>
          </w:tcPr>
          <w:p w:rsidR="000301D2" w:rsidRDefault="000301D2" w:rsidP="006010AE"/>
        </w:tc>
        <w:tc>
          <w:tcPr>
            <w:tcW w:w="895" w:type="pct"/>
          </w:tcPr>
          <w:p w:rsidR="000301D2" w:rsidRDefault="000301D2" w:rsidP="006010AE">
            <w:r>
              <w:t>1 (Referent)</w:t>
            </w:r>
          </w:p>
        </w:tc>
        <w:tc>
          <w:tcPr>
            <w:tcW w:w="658" w:type="pct"/>
          </w:tcPr>
          <w:p w:rsidR="000301D2" w:rsidRDefault="000301D2" w:rsidP="006010AE"/>
        </w:tc>
      </w:tr>
      <w:tr w:rsidR="000301D2" w:rsidTr="006010AE">
        <w:tc>
          <w:tcPr>
            <w:tcW w:w="770" w:type="pct"/>
          </w:tcPr>
          <w:p w:rsidR="000301D2" w:rsidRDefault="000301D2" w:rsidP="006010AE">
            <w:r>
              <w:t xml:space="preserve">  </w:t>
            </w:r>
          </w:p>
        </w:tc>
        <w:tc>
          <w:tcPr>
            <w:tcW w:w="1039" w:type="pct"/>
          </w:tcPr>
          <w:p w:rsidR="000301D2" w:rsidRDefault="000301D2" w:rsidP="006010AE">
            <w:r>
              <w:t>Compensated cirrhosis</w:t>
            </w:r>
          </w:p>
        </w:tc>
        <w:tc>
          <w:tcPr>
            <w:tcW w:w="1072" w:type="pct"/>
          </w:tcPr>
          <w:p w:rsidR="000301D2" w:rsidRDefault="000301D2" w:rsidP="006010AE">
            <w:r>
              <w:t>0.43 (0.29-0.63)</w:t>
            </w:r>
          </w:p>
        </w:tc>
        <w:tc>
          <w:tcPr>
            <w:tcW w:w="563" w:type="pct"/>
          </w:tcPr>
          <w:p w:rsidR="000301D2" w:rsidRDefault="000301D2" w:rsidP="006010AE">
            <w:r>
              <w:t>&lt; 0.001</w:t>
            </w:r>
          </w:p>
        </w:tc>
        <w:tc>
          <w:tcPr>
            <w:tcW w:w="895" w:type="pct"/>
          </w:tcPr>
          <w:p w:rsidR="000301D2" w:rsidRDefault="000301D2" w:rsidP="006010AE">
            <w:r>
              <w:t>0.47 (0.31-0.71)</w:t>
            </w:r>
          </w:p>
        </w:tc>
        <w:tc>
          <w:tcPr>
            <w:tcW w:w="658" w:type="pct"/>
          </w:tcPr>
          <w:p w:rsidR="000301D2" w:rsidRDefault="000301D2" w:rsidP="006010AE">
            <w:r>
              <w:t>&lt; 0.001</w:t>
            </w:r>
          </w:p>
        </w:tc>
      </w:tr>
      <w:tr w:rsidR="000301D2" w:rsidTr="006010AE">
        <w:tc>
          <w:tcPr>
            <w:tcW w:w="770" w:type="pct"/>
          </w:tcPr>
          <w:p w:rsidR="000301D2" w:rsidRDefault="000301D2" w:rsidP="006010AE"/>
        </w:tc>
        <w:tc>
          <w:tcPr>
            <w:tcW w:w="1039" w:type="pct"/>
          </w:tcPr>
          <w:p w:rsidR="000301D2" w:rsidRDefault="000301D2" w:rsidP="006010AE">
            <w:r>
              <w:t>Decompensated cirrhosis</w:t>
            </w:r>
          </w:p>
        </w:tc>
        <w:tc>
          <w:tcPr>
            <w:tcW w:w="1072" w:type="pct"/>
          </w:tcPr>
          <w:p w:rsidR="000301D2" w:rsidRDefault="000301D2" w:rsidP="006010AE">
            <w:r>
              <w:t>0.26 (0.12-0.56)</w:t>
            </w:r>
          </w:p>
        </w:tc>
        <w:tc>
          <w:tcPr>
            <w:tcW w:w="563" w:type="pct"/>
          </w:tcPr>
          <w:p w:rsidR="000301D2" w:rsidRDefault="000301D2" w:rsidP="006010AE">
            <w:r>
              <w:t>0.001</w:t>
            </w:r>
          </w:p>
        </w:tc>
        <w:tc>
          <w:tcPr>
            <w:tcW w:w="895" w:type="pct"/>
          </w:tcPr>
          <w:p w:rsidR="000301D2" w:rsidRDefault="000301D2" w:rsidP="006010AE">
            <w:r>
              <w:t>0.27 (0.11-0.64)</w:t>
            </w:r>
          </w:p>
        </w:tc>
        <w:tc>
          <w:tcPr>
            <w:tcW w:w="658" w:type="pct"/>
          </w:tcPr>
          <w:p w:rsidR="000301D2" w:rsidRDefault="000301D2" w:rsidP="006010AE">
            <w:r>
              <w:t>0.003</w:t>
            </w:r>
          </w:p>
        </w:tc>
      </w:tr>
      <w:tr w:rsidR="000301D2" w:rsidTr="006010AE">
        <w:tc>
          <w:tcPr>
            <w:tcW w:w="770" w:type="pct"/>
            <w:shd w:val="clear" w:color="auto" w:fill="B8CCE4" w:themeFill="accent1" w:themeFillTint="66"/>
          </w:tcPr>
          <w:p w:rsidR="000301D2" w:rsidRDefault="000301D2" w:rsidP="006010AE">
            <w:r>
              <w:t xml:space="preserve">HCC </w:t>
            </w:r>
          </w:p>
        </w:tc>
        <w:tc>
          <w:tcPr>
            <w:tcW w:w="1039" w:type="pct"/>
            <w:shd w:val="clear" w:color="auto" w:fill="B8CCE4" w:themeFill="accent1" w:themeFillTint="66"/>
          </w:tcPr>
          <w:p w:rsidR="000301D2" w:rsidRDefault="000301D2" w:rsidP="006010AE">
            <w:r>
              <w:t>Non-HCC</w:t>
            </w:r>
          </w:p>
        </w:tc>
        <w:tc>
          <w:tcPr>
            <w:tcW w:w="1072" w:type="pct"/>
            <w:shd w:val="clear" w:color="auto" w:fill="B8CCE4" w:themeFill="accent1" w:themeFillTint="66"/>
          </w:tcPr>
          <w:p w:rsidR="000301D2" w:rsidRDefault="000301D2" w:rsidP="006010AE">
            <w:r>
              <w:t>1 (Referent)</w:t>
            </w:r>
          </w:p>
        </w:tc>
        <w:tc>
          <w:tcPr>
            <w:tcW w:w="563" w:type="pct"/>
            <w:shd w:val="clear" w:color="auto" w:fill="B8CCE4" w:themeFill="accent1" w:themeFillTint="66"/>
          </w:tcPr>
          <w:p w:rsidR="000301D2" w:rsidRDefault="000301D2" w:rsidP="006010AE"/>
        </w:tc>
        <w:tc>
          <w:tcPr>
            <w:tcW w:w="895" w:type="pct"/>
            <w:shd w:val="clear" w:color="auto" w:fill="B8CCE4" w:themeFill="accent1" w:themeFillTint="66"/>
          </w:tcPr>
          <w:p w:rsidR="000301D2" w:rsidRDefault="000301D2" w:rsidP="006010AE">
            <w:r>
              <w:t>1 (Referent)</w:t>
            </w:r>
          </w:p>
        </w:tc>
        <w:tc>
          <w:tcPr>
            <w:tcW w:w="658" w:type="pct"/>
            <w:shd w:val="clear" w:color="auto" w:fill="B8CCE4" w:themeFill="accent1" w:themeFillTint="66"/>
          </w:tcPr>
          <w:p w:rsidR="000301D2" w:rsidRDefault="000301D2" w:rsidP="006010AE"/>
        </w:tc>
      </w:tr>
      <w:tr w:rsidR="000301D2" w:rsidTr="006010AE">
        <w:tc>
          <w:tcPr>
            <w:tcW w:w="770" w:type="pct"/>
            <w:shd w:val="clear" w:color="auto" w:fill="B8CCE4" w:themeFill="accent1" w:themeFillTint="66"/>
          </w:tcPr>
          <w:p w:rsidR="000301D2" w:rsidRDefault="000301D2" w:rsidP="006010AE"/>
        </w:tc>
        <w:tc>
          <w:tcPr>
            <w:tcW w:w="1039" w:type="pct"/>
            <w:shd w:val="clear" w:color="auto" w:fill="B8CCE4" w:themeFill="accent1" w:themeFillTint="66"/>
          </w:tcPr>
          <w:p w:rsidR="000301D2" w:rsidRDefault="000301D2" w:rsidP="006010AE">
            <w:r>
              <w:t>Ablated HCC</w:t>
            </w:r>
          </w:p>
        </w:tc>
        <w:tc>
          <w:tcPr>
            <w:tcW w:w="1072" w:type="pct"/>
            <w:shd w:val="clear" w:color="auto" w:fill="B8CCE4" w:themeFill="accent1" w:themeFillTint="66"/>
          </w:tcPr>
          <w:p w:rsidR="000301D2" w:rsidRDefault="000301D2" w:rsidP="006010AE">
            <w:r>
              <w:t>0.38 (0.21-0.68)</w:t>
            </w:r>
          </w:p>
        </w:tc>
        <w:tc>
          <w:tcPr>
            <w:tcW w:w="563" w:type="pct"/>
            <w:shd w:val="clear" w:color="auto" w:fill="B8CCE4" w:themeFill="accent1" w:themeFillTint="66"/>
          </w:tcPr>
          <w:p w:rsidR="000301D2" w:rsidRDefault="000301D2" w:rsidP="006010AE">
            <w:r>
              <w:t>0.001</w:t>
            </w:r>
          </w:p>
        </w:tc>
        <w:tc>
          <w:tcPr>
            <w:tcW w:w="895" w:type="pct"/>
            <w:shd w:val="clear" w:color="auto" w:fill="B8CCE4" w:themeFill="accent1" w:themeFillTint="66"/>
          </w:tcPr>
          <w:p w:rsidR="000301D2" w:rsidRDefault="000301D2" w:rsidP="006010AE">
            <w:r>
              <w:t>0.61 (0.31-1.17)</w:t>
            </w:r>
          </w:p>
        </w:tc>
        <w:tc>
          <w:tcPr>
            <w:tcW w:w="658" w:type="pct"/>
            <w:shd w:val="clear" w:color="auto" w:fill="B8CCE4" w:themeFill="accent1" w:themeFillTint="66"/>
          </w:tcPr>
          <w:p w:rsidR="000301D2" w:rsidRDefault="000301D2" w:rsidP="006010AE">
            <w:r>
              <w:t>0.14</w:t>
            </w:r>
          </w:p>
        </w:tc>
      </w:tr>
      <w:tr w:rsidR="000301D2" w:rsidTr="006010AE">
        <w:tc>
          <w:tcPr>
            <w:tcW w:w="770" w:type="pct"/>
            <w:shd w:val="clear" w:color="auto" w:fill="B8CCE4" w:themeFill="accent1" w:themeFillTint="66"/>
          </w:tcPr>
          <w:p w:rsidR="000301D2" w:rsidRDefault="000301D2" w:rsidP="006010AE"/>
        </w:tc>
        <w:tc>
          <w:tcPr>
            <w:tcW w:w="1039" w:type="pct"/>
            <w:shd w:val="clear" w:color="auto" w:fill="B8CCE4" w:themeFill="accent1" w:themeFillTint="66"/>
          </w:tcPr>
          <w:p w:rsidR="000301D2" w:rsidRDefault="000301D2" w:rsidP="006010AE">
            <w:r>
              <w:t>Active HCC</w:t>
            </w:r>
          </w:p>
        </w:tc>
        <w:tc>
          <w:tcPr>
            <w:tcW w:w="1072" w:type="pct"/>
            <w:shd w:val="clear" w:color="auto" w:fill="B8CCE4" w:themeFill="accent1" w:themeFillTint="66"/>
          </w:tcPr>
          <w:p w:rsidR="000301D2" w:rsidRDefault="000301D2" w:rsidP="006010AE">
            <w:r>
              <w:t>0.28 (0.12-0.70)</w:t>
            </w:r>
          </w:p>
        </w:tc>
        <w:tc>
          <w:tcPr>
            <w:tcW w:w="563" w:type="pct"/>
            <w:shd w:val="clear" w:color="auto" w:fill="B8CCE4" w:themeFill="accent1" w:themeFillTint="66"/>
          </w:tcPr>
          <w:p w:rsidR="000301D2" w:rsidRDefault="000301D2" w:rsidP="006010AE">
            <w:r>
              <w:t>0.01</w:t>
            </w:r>
          </w:p>
        </w:tc>
        <w:tc>
          <w:tcPr>
            <w:tcW w:w="895" w:type="pct"/>
            <w:shd w:val="clear" w:color="auto" w:fill="B8CCE4" w:themeFill="accent1" w:themeFillTint="66"/>
          </w:tcPr>
          <w:p w:rsidR="000301D2" w:rsidRDefault="000301D2" w:rsidP="006010AE">
            <w:r>
              <w:t>0.44 (0.16-1.18)</w:t>
            </w:r>
          </w:p>
        </w:tc>
        <w:tc>
          <w:tcPr>
            <w:tcW w:w="658" w:type="pct"/>
            <w:shd w:val="clear" w:color="auto" w:fill="B8CCE4" w:themeFill="accent1" w:themeFillTint="66"/>
          </w:tcPr>
          <w:p w:rsidR="000301D2" w:rsidRDefault="000301D2" w:rsidP="006010AE">
            <w:r>
              <w:t>0.10</w:t>
            </w:r>
          </w:p>
        </w:tc>
      </w:tr>
      <w:tr w:rsidR="000301D2" w:rsidTr="006010AE">
        <w:tc>
          <w:tcPr>
            <w:tcW w:w="770" w:type="pct"/>
          </w:tcPr>
          <w:p w:rsidR="000301D2" w:rsidRDefault="000301D2" w:rsidP="006010AE">
            <w:r>
              <w:t>CKD, eGFR &lt; 60</w:t>
            </w:r>
          </w:p>
        </w:tc>
        <w:tc>
          <w:tcPr>
            <w:tcW w:w="1039" w:type="pct"/>
          </w:tcPr>
          <w:p w:rsidR="000301D2" w:rsidRDefault="000301D2" w:rsidP="006010AE">
            <w:r>
              <w:t>No</w:t>
            </w:r>
          </w:p>
        </w:tc>
        <w:tc>
          <w:tcPr>
            <w:tcW w:w="1072" w:type="pct"/>
          </w:tcPr>
          <w:p w:rsidR="000301D2" w:rsidRDefault="000301D2" w:rsidP="006010AE">
            <w:r>
              <w:t>1 (Referent)</w:t>
            </w:r>
          </w:p>
        </w:tc>
        <w:tc>
          <w:tcPr>
            <w:tcW w:w="563" w:type="pct"/>
          </w:tcPr>
          <w:p w:rsidR="000301D2" w:rsidRDefault="000301D2" w:rsidP="006010AE"/>
        </w:tc>
        <w:tc>
          <w:tcPr>
            <w:tcW w:w="895" w:type="pct"/>
          </w:tcPr>
          <w:p w:rsidR="000301D2" w:rsidRDefault="000301D2" w:rsidP="006010AE"/>
        </w:tc>
        <w:tc>
          <w:tcPr>
            <w:tcW w:w="658" w:type="pct"/>
          </w:tcPr>
          <w:p w:rsidR="000301D2" w:rsidRDefault="000301D2" w:rsidP="006010AE"/>
        </w:tc>
      </w:tr>
      <w:tr w:rsidR="000301D2" w:rsidTr="006010AE">
        <w:tc>
          <w:tcPr>
            <w:tcW w:w="770" w:type="pct"/>
          </w:tcPr>
          <w:p w:rsidR="000301D2" w:rsidRDefault="000301D2" w:rsidP="006010AE"/>
        </w:tc>
        <w:tc>
          <w:tcPr>
            <w:tcW w:w="1039" w:type="pct"/>
          </w:tcPr>
          <w:p w:rsidR="000301D2" w:rsidRDefault="000301D2" w:rsidP="006010AE">
            <w:r>
              <w:t>Yes</w:t>
            </w:r>
          </w:p>
        </w:tc>
        <w:tc>
          <w:tcPr>
            <w:tcW w:w="1072" w:type="pct"/>
          </w:tcPr>
          <w:p w:rsidR="000301D2" w:rsidRDefault="000301D2" w:rsidP="006010AE">
            <w:r>
              <w:t>0.81 (0.46-1.45)</w:t>
            </w:r>
          </w:p>
        </w:tc>
        <w:tc>
          <w:tcPr>
            <w:tcW w:w="563" w:type="pct"/>
          </w:tcPr>
          <w:p w:rsidR="000301D2" w:rsidRDefault="000301D2" w:rsidP="006010AE">
            <w:r>
              <w:t>0.49</w:t>
            </w:r>
          </w:p>
        </w:tc>
        <w:tc>
          <w:tcPr>
            <w:tcW w:w="895" w:type="pct"/>
          </w:tcPr>
          <w:p w:rsidR="000301D2" w:rsidRDefault="000301D2" w:rsidP="006010AE">
            <w:r>
              <w:t>--</w:t>
            </w:r>
          </w:p>
        </w:tc>
        <w:tc>
          <w:tcPr>
            <w:tcW w:w="658" w:type="pct"/>
          </w:tcPr>
          <w:p w:rsidR="000301D2" w:rsidRDefault="000301D2" w:rsidP="006010AE">
            <w:r>
              <w:t>--</w:t>
            </w:r>
          </w:p>
        </w:tc>
      </w:tr>
      <w:tr w:rsidR="000301D2" w:rsidTr="006010AE">
        <w:tc>
          <w:tcPr>
            <w:tcW w:w="770" w:type="pct"/>
            <w:shd w:val="clear" w:color="auto" w:fill="B8CCE4" w:themeFill="accent1" w:themeFillTint="66"/>
          </w:tcPr>
          <w:p w:rsidR="000301D2" w:rsidRDefault="000301D2" w:rsidP="006010AE">
            <w:r>
              <w:t>HBV co-infection</w:t>
            </w:r>
          </w:p>
        </w:tc>
        <w:tc>
          <w:tcPr>
            <w:tcW w:w="1039" w:type="pct"/>
            <w:shd w:val="clear" w:color="auto" w:fill="B8CCE4" w:themeFill="accent1" w:themeFillTint="66"/>
          </w:tcPr>
          <w:p w:rsidR="000301D2" w:rsidRDefault="000301D2" w:rsidP="006010AE">
            <w:r>
              <w:t>No</w:t>
            </w:r>
          </w:p>
        </w:tc>
        <w:tc>
          <w:tcPr>
            <w:tcW w:w="1072" w:type="pct"/>
            <w:shd w:val="clear" w:color="auto" w:fill="B8CCE4" w:themeFill="accent1" w:themeFillTint="66"/>
          </w:tcPr>
          <w:p w:rsidR="000301D2" w:rsidRDefault="000301D2" w:rsidP="006010AE">
            <w:r>
              <w:t>1 (Referent)</w:t>
            </w:r>
          </w:p>
        </w:tc>
        <w:tc>
          <w:tcPr>
            <w:tcW w:w="563" w:type="pct"/>
            <w:shd w:val="clear" w:color="auto" w:fill="B8CCE4" w:themeFill="accent1" w:themeFillTint="66"/>
          </w:tcPr>
          <w:p w:rsidR="000301D2" w:rsidRDefault="000301D2" w:rsidP="006010AE"/>
        </w:tc>
        <w:tc>
          <w:tcPr>
            <w:tcW w:w="895" w:type="pct"/>
            <w:shd w:val="clear" w:color="auto" w:fill="B8CCE4" w:themeFill="accent1" w:themeFillTint="66"/>
          </w:tcPr>
          <w:p w:rsidR="000301D2" w:rsidRDefault="000301D2" w:rsidP="006010AE"/>
        </w:tc>
        <w:tc>
          <w:tcPr>
            <w:tcW w:w="658" w:type="pct"/>
            <w:shd w:val="clear" w:color="auto" w:fill="B8CCE4" w:themeFill="accent1" w:themeFillTint="66"/>
          </w:tcPr>
          <w:p w:rsidR="000301D2" w:rsidRDefault="000301D2" w:rsidP="006010AE">
            <w:r>
              <w:t>--</w:t>
            </w:r>
          </w:p>
        </w:tc>
      </w:tr>
      <w:tr w:rsidR="000301D2" w:rsidTr="006010AE">
        <w:tc>
          <w:tcPr>
            <w:tcW w:w="770" w:type="pct"/>
            <w:shd w:val="clear" w:color="auto" w:fill="B8CCE4" w:themeFill="accent1" w:themeFillTint="66"/>
          </w:tcPr>
          <w:p w:rsidR="000301D2" w:rsidRDefault="000301D2" w:rsidP="006010AE"/>
        </w:tc>
        <w:tc>
          <w:tcPr>
            <w:tcW w:w="1039" w:type="pct"/>
            <w:shd w:val="clear" w:color="auto" w:fill="B8CCE4" w:themeFill="accent1" w:themeFillTint="66"/>
          </w:tcPr>
          <w:p w:rsidR="000301D2" w:rsidRDefault="000301D2" w:rsidP="006010AE">
            <w:r>
              <w:t>Yes</w:t>
            </w:r>
          </w:p>
        </w:tc>
        <w:tc>
          <w:tcPr>
            <w:tcW w:w="1072" w:type="pct"/>
            <w:shd w:val="clear" w:color="auto" w:fill="B8CCE4" w:themeFill="accent1" w:themeFillTint="66"/>
          </w:tcPr>
          <w:p w:rsidR="000301D2" w:rsidRDefault="000301D2" w:rsidP="006010AE">
            <w:r>
              <w:t>0.50 (0.19-1.33)</w:t>
            </w:r>
          </w:p>
        </w:tc>
        <w:tc>
          <w:tcPr>
            <w:tcW w:w="563" w:type="pct"/>
            <w:shd w:val="clear" w:color="auto" w:fill="B8CCE4" w:themeFill="accent1" w:themeFillTint="66"/>
          </w:tcPr>
          <w:p w:rsidR="000301D2" w:rsidRDefault="000301D2" w:rsidP="006010AE">
            <w:r>
              <w:t>0.16</w:t>
            </w:r>
          </w:p>
        </w:tc>
        <w:tc>
          <w:tcPr>
            <w:tcW w:w="895" w:type="pct"/>
            <w:shd w:val="clear" w:color="auto" w:fill="B8CCE4" w:themeFill="accent1" w:themeFillTint="66"/>
          </w:tcPr>
          <w:p w:rsidR="000301D2" w:rsidRDefault="000301D2" w:rsidP="006010AE">
            <w:r>
              <w:t>--</w:t>
            </w:r>
          </w:p>
        </w:tc>
        <w:tc>
          <w:tcPr>
            <w:tcW w:w="658" w:type="pct"/>
            <w:shd w:val="clear" w:color="auto" w:fill="B8CCE4" w:themeFill="accent1" w:themeFillTint="66"/>
          </w:tcPr>
          <w:p w:rsidR="000301D2" w:rsidRDefault="000301D2" w:rsidP="006010AE"/>
        </w:tc>
      </w:tr>
      <w:tr w:rsidR="000301D2" w:rsidTr="006010AE">
        <w:tc>
          <w:tcPr>
            <w:tcW w:w="770" w:type="pct"/>
            <w:shd w:val="clear" w:color="auto" w:fill="B8CCE4" w:themeFill="accent1" w:themeFillTint="66"/>
          </w:tcPr>
          <w:p w:rsidR="000301D2" w:rsidRDefault="000301D2" w:rsidP="006010AE">
            <w:r>
              <w:t>HCV RNA, IU/mL</w:t>
            </w:r>
          </w:p>
        </w:tc>
        <w:tc>
          <w:tcPr>
            <w:tcW w:w="1039" w:type="pct"/>
            <w:shd w:val="clear" w:color="auto" w:fill="B8CCE4" w:themeFill="accent1" w:themeFillTint="66"/>
          </w:tcPr>
          <w:p w:rsidR="000301D2" w:rsidRDefault="000301D2" w:rsidP="006010AE">
            <w:r>
              <w:t>≤ 800,000</w:t>
            </w:r>
          </w:p>
        </w:tc>
        <w:tc>
          <w:tcPr>
            <w:tcW w:w="1072" w:type="pct"/>
            <w:shd w:val="clear" w:color="auto" w:fill="B8CCE4" w:themeFill="accent1" w:themeFillTint="66"/>
          </w:tcPr>
          <w:p w:rsidR="000301D2" w:rsidRDefault="000301D2" w:rsidP="006010AE">
            <w:r>
              <w:t>1 (Referent)</w:t>
            </w:r>
          </w:p>
        </w:tc>
        <w:tc>
          <w:tcPr>
            <w:tcW w:w="563" w:type="pct"/>
            <w:shd w:val="clear" w:color="auto" w:fill="B8CCE4" w:themeFill="accent1" w:themeFillTint="66"/>
          </w:tcPr>
          <w:p w:rsidR="000301D2" w:rsidRDefault="000301D2" w:rsidP="006010AE"/>
        </w:tc>
        <w:tc>
          <w:tcPr>
            <w:tcW w:w="895" w:type="pct"/>
            <w:shd w:val="clear" w:color="auto" w:fill="B8CCE4" w:themeFill="accent1" w:themeFillTint="66"/>
          </w:tcPr>
          <w:p w:rsidR="000301D2" w:rsidRDefault="000301D2" w:rsidP="006010AE"/>
        </w:tc>
        <w:tc>
          <w:tcPr>
            <w:tcW w:w="658" w:type="pct"/>
            <w:shd w:val="clear" w:color="auto" w:fill="B8CCE4" w:themeFill="accent1" w:themeFillTint="66"/>
          </w:tcPr>
          <w:p w:rsidR="000301D2" w:rsidRDefault="000301D2" w:rsidP="006010AE">
            <w:pPr>
              <w:tabs>
                <w:tab w:val="center" w:pos="1054"/>
              </w:tabs>
            </w:pPr>
          </w:p>
        </w:tc>
      </w:tr>
      <w:tr w:rsidR="000301D2" w:rsidTr="006010AE">
        <w:tc>
          <w:tcPr>
            <w:tcW w:w="770" w:type="pct"/>
            <w:shd w:val="clear" w:color="auto" w:fill="B8CCE4" w:themeFill="accent1" w:themeFillTint="66"/>
          </w:tcPr>
          <w:p w:rsidR="000301D2" w:rsidRDefault="000301D2" w:rsidP="006010AE"/>
        </w:tc>
        <w:tc>
          <w:tcPr>
            <w:tcW w:w="1039" w:type="pct"/>
            <w:shd w:val="clear" w:color="auto" w:fill="B8CCE4" w:themeFill="accent1" w:themeFillTint="66"/>
          </w:tcPr>
          <w:p w:rsidR="000301D2" w:rsidRDefault="000301D2" w:rsidP="006010AE">
            <w:r>
              <w:t>&gt; 800,000</w:t>
            </w:r>
          </w:p>
        </w:tc>
        <w:tc>
          <w:tcPr>
            <w:tcW w:w="1072" w:type="pct"/>
            <w:shd w:val="clear" w:color="auto" w:fill="B8CCE4" w:themeFill="accent1" w:themeFillTint="66"/>
          </w:tcPr>
          <w:p w:rsidR="000301D2" w:rsidRDefault="000301D2" w:rsidP="006010AE">
            <w:r>
              <w:t>0.99 (0.69-1.43)</w:t>
            </w:r>
          </w:p>
        </w:tc>
        <w:tc>
          <w:tcPr>
            <w:tcW w:w="563" w:type="pct"/>
            <w:shd w:val="clear" w:color="auto" w:fill="B8CCE4" w:themeFill="accent1" w:themeFillTint="66"/>
          </w:tcPr>
          <w:p w:rsidR="000301D2" w:rsidRDefault="000301D2" w:rsidP="006010AE">
            <w:r>
              <w:t>0.95</w:t>
            </w:r>
          </w:p>
        </w:tc>
        <w:tc>
          <w:tcPr>
            <w:tcW w:w="895" w:type="pct"/>
            <w:shd w:val="clear" w:color="auto" w:fill="B8CCE4" w:themeFill="accent1" w:themeFillTint="66"/>
          </w:tcPr>
          <w:p w:rsidR="000301D2" w:rsidRDefault="000301D2" w:rsidP="006010AE">
            <w:r>
              <w:t>--</w:t>
            </w:r>
          </w:p>
        </w:tc>
        <w:tc>
          <w:tcPr>
            <w:tcW w:w="658" w:type="pct"/>
            <w:shd w:val="clear" w:color="auto" w:fill="B8CCE4" w:themeFill="accent1" w:themeFillTint="66"/>
          </w:tcPr>
          <w:p w:rsidR="000301D2" w:rsidRDefault="000301D2" w:rsidP="006010AE">
            <w:pPr>
              <w:tabs>
                <w:tab w:val="center" w:pos="1054"/>
              </w:tabs>
            </w:pPr>
            <w:r>
              <w:t>--</w:t>
            </w:r>
          </w:p>
        </w:tc>
      </w:tr>
      <w:tr w:rsidR="000301D2" w:rsidTr="006010AE">
        <w:tc>
          <w:tcPr>
            <w:tcW w:w="770" w:type="pct"/>
          </w:tcPr>
          <w:p w:rsidR="000301D2" w:rsidRDefault="000301D2" w:rsidP="006010AE">
            <w:r>
              <w:t>DAA regimens</w:t>
            </w:r>
          </w:p>
        </w:tc>
        <w:tc>
          <w:tcPr>
            <w:tcW w:w="1039" w:type="pct"/>
          </w:tcPr>
          <w:p w:rsidR="000301D2" w:rsidRDefault="000301D2" w:rsidP="006010AE">
            <w:r>
              <w:t>SOF/RBV</w:t>
            </w:r>
          </w:p>
        </w:tc>
        <w:tc>
          <w:tcPr>
            <w:tcW w:w="1072" w:type="pct"/>
          </w:tcPr>
          <w:p w:rsidR="000301D2" w:rsidRDefault="000301D2" w:rsidP="006010AE">
            <w:r>
              <w:t>1 (Referent)</w:t>
            </w:r>
          </w:p>
        </w:tc>
        <w:tc>
          <w:tcPr>
            <w:tcW w:w="563" w:type="pct"/>
          </w:tcPr>
          <w:p w:rsidR="000301D2" w:rsidRDefault="000301D2" w:rsidP="006010AE"/>
        </w:tc>
        <w:tc>
          <w:tcPr>
            <w:tcW w:w="895" w:type="pct"/>
          </w:tcPr>
          <w:p w:rsidR="000301D2" w:rsidRDefault="000301D2" w:rsidP="006010AE">
            <w:r>
              <w:t>1 (Referent)</w:t>
            </w:r>
          </w:p>
        </w:tc>
        <w:tc>
          <w:tcPr>
            <w:tcW w:w="658" w:type="pct"/>
          </w:tcPr>
          <w:p w:rsidR="000301D2" w:rsidRDefault="000301D2" w:rsidP="006010AE"/>
        </w:tc>
      </w:tr>
      <w:tr w:rsidR="000301D2" w:rsidTr="006010AE">
        <w:tc>
          <w:tcPr>
            <w:tcW w:w="770" w:type="pct"/>
          </w:tcPr>
          <w:p w:rsidR="000301D2" w:rsidRDefault="000301D2" w:rsidP="006010AE"/>
        </w:tc>
        <w:tc>
          <w:tcPr>
            <w:tcW w:w="1039" w:type="pct"/>
          </w:tcPr>
          <w:p w:rsidR="000301D2" w:rsidRDefault="000301D2" w:rsidP="006010AE">
            <w:r>
              <w:t>SOF/DCV ± RBV</w:t>
            </w:r>
          </w:p>
        </w:tc>
        <w:tc>
          <w:tcPr>
            <w:tcW w:w="1072" w:type="pct"/>
          </w:tcPr>
          <w:p w:rsidR="000301D2" w:rsidRDefault="000301D2" w:rsidP="006010AE">
            <w:r>
              <w:t>5.75 (0.80-41.5)</w:t>
            </w:r>
          </w:p>
        </w:tc>
        <w:tc>
          <w:tcPr>
            <w:tcW w:w="563" w:type="pct"/>
          </w:tcPr>
          <w:p w:rsidR="000301D2" w:rsidRDefault="000301D2" w:rsidP="006010AE">
            <w:r>
              <w:t>0.08</w:t>
            </w:r>
          </w:p>
        </w:tc>
        <w:tc>
          <w:tcPr>
            <w:tcW w:w="895" w:type="pct"/>
          </w:tcPr>
          <w:p w:rsidR="000301D2" w:rsidRDefault="000301D2" w:rsidP="006010AE">
            <w:r>
              <w:t>7.32 (1.01-53.3)</w:t>
            </w:r>
          </w:p>
        </w:tc>
        <w:tc>
          <w:tcPr>
            <w:tcW w:w="658" w:type="pct"/>
          </w:tcPr>
          <w:p w:rsidR="000301D2" w:rsidRDefault="000301D2" w:rsidP="006010AE">
            <w:r>
              <w:t>0.049</w:t>
            </w:r>
          </w:p>
        </w:tc>
      </w:tr>
      <w:tr w:rsidR="000301D2" w:rsidTr="006010AE">
        <w:trPr>
          <w:trHeight w:val="90"/>
        </w:trPr>
        <w:tc>
          <w:tcPr>
            <w:tcW w:w="770" w:type="pct"/>
          </w:tcPr>
          <w:p w:rsidR="000301D2" w:rsidRDefault="000301D2" w:rsidP="006010AE"/>
        </w:tc>
        <w:tc>
          <w:tcPr>
            <w:tcW w:w="1039" w:type="pct"/>
          </w:tcPr>
          <w:p w:rsidR="000301D2" w:rsidRDefault="000301D2" w:rsidP="006010AE">
            <w:r>
              <w:t>GLE/PIB</w:t>
            </w:r>
          </w:p>
        </w:tc>
        <w:tc>
          <w:tcPr>
            <w:tcW w:w="1072" w:type="pct"/>
          </w:tcPr>
          <w:p w:rsidR="000301D2" w:rsidRDefault="000301D2" w:rsidP="006010AE">
            <w:r>
              <w:t>1.56 (0.85-2.87)</w:t>
            </w:r>
          </w:p>
        </w:tc>
        <w:tc>
          <w:tcPr>
            <w:tcW w:w="563" w:type="pct"/>
          </w:tcPr>
          <w:p w:rsidR="000301D2" w:rsidRDefault="000301D2" w:rsidP="006010AE">
            <w:r>
              <w:t>0.15</w:t>
            </w:r>
          </w:p>
        </w:tc>
        <w:tc>
          <w:tcPr>
            <w:tcW w:w="895" w:type="pct"/>
          </w:tcPr>
          <w:p w:rsidR="000301D2" w:rsidRDefault="000301D2" w:rsidP="006010AE">
            <w:r>
              <w:t>1.53 (0.82-2.84)</w:t>
            </w:r>
          </w:p>
        </w:tc>
        <w:tc>
          <w:tcPr>
            <w:tcW w:w="658" w:type="pct"/>
          </w:tcPr>
          <w:p w:rsidR="000301D2" w:rsidRDefault="000301D2" w:rsidP="006010AE">
            <w:r>
              <w:t>0.18</w:t>
            </w:r>
          </w:p>
        </w:tc>
      </w:tr>
      <w:tr w:rsidR="000301D2" w:rsidTr="006010AE">
        <w:tc>
          <w:tcPr>
            <w:tcW w:w="770" w:type="pct"/>
          </w:tcPr>
          <w:p w:rsidR="000301D2" w:rsidRDefault="000301D2" w:rsidP="006010AE"/>
        </w:tc>
        <w:tc>
          <w:tcPr>
            <w:tcW w:w="1039" w:type="pct"/>
          </w:tcPr>
          <w:p w:rsidR="000301D2" w:rsidRDefault="000301D2" w:rsidP="006010AE">
            <w:r>
              <w:t>SOF/VEL ± RBV</w:t>
            </w:r>
          </w:p>
        </w:tc>
        <w:tc>
          <w:tcPr>
            <w:tcW w:w="1072" w:type="pct"/>
          </w:tcPr>
          <w:p w:rsidR="000301D2" w:rsidRDefault="000301D2" w:rsidP="006010AE">
            <w:r>
              <w:t>1.29 (0.56-2.98)</w:t>
            </w:r>
          </w:p>
        </w:tc>
        <w:tc>
          <w:tcPr>
            <w:tcW w:w="563" w:type="pct"/>
          </w:tcPr>
          <w:p w:rsidR="000301D2" w:rsidRDefault="000301D2" w:rsidP="006010AE">
            <w:r>
              <w:t>0.55</w:t>
            </w:r>
          </w:p>
        </w:tc>
        <w:tc>
          <w:tcPr>
            <w:tcW w:w="895" w:type="pct"/>
          </w:tcPr>
          <w:p w:rsidR="000301D2" w:rsidRDefault="000301D2" w:rsidP="006010AE">
            <w:r>
              <w:t>1.78 (0.66-4.76)</w:t>
            </w:r>
          </w:p>
        </w:tc>
        <w:tc>
          <w:tcPr>
            <w:tcW w:w="658" w:type="pct"/>
          </w:tcPr>
          <w:p w:rsidR="000301D2" w:rsidRDefault="000301D2" w:rsidP="006010AE">
            <w:r>
              <w:t>0.25</w:t>
            </w:r>
          </w:p>
        </w:tc>
      </w:tr>
      <w:tr w:rsidR="000301D2" w:rsidTr="006010AE">
        <w:trPr>
          <w:trHeight w:val="295"/>
        </w:trPr>
        <w:tc>
          <w:tcPr>
            <w:tcW w:w="770" w:type="pct"/>
            <w:tcBorders>
              <w:bottom w:val="single" w:sz="12" w:space="0" w:color="auto"/>
            </w:tcBorders>
          </w:tcPr>
          <w:p w:rsidR="000301D2" w:rsidRDefault="000301D2" w:rsidP="006010AE"/>
        </w:tc>
        <w:tc>
          <w:tcPr>
            <w:tcW w:w="1039" w:type="pct"/>
            <w:tcBorders>
              <w:bottom w:val="single" w:sz="12" w:space="0" w:color="auto"/>
            </w:tcBorders>
          </w:tcPr>
          <w:p w:rsidR="000301D2" w:rsidRDefault="000301D2" w:rsidP="006010AE">
            <w:r>
              <w:t>Others</w:t>
            </w:r>
          </w:p>
        </w:tc>
        <w:tc>
          <w:tcPr>
            <w:tcW w:w="1072" w:type="pct"/>
            <w:tcBorders>
              <w:bottom w:val="single" w:sz="12" w:space="0" w:color="auto"/>
            </w:tcBorders>
          </w:tcPr>
          <w:p w:rsidR="000301D2" w:rsidRDefault="000301D2" w:rsidP="006010AE">
            <w:r>
              <w:t>0.69 (0.30-1.62)</w:t>
            </w:r>
          </w:p>
        </w:tc>
        <w:tc>
          <w:tcPr>
            <w:tcW w:w="563" w:type="pct"/>
            <w:tcBorders>
              <w:bottom w:val="single" w:sz="12" w:space="0" w:color="auto"/>
            </w:tcBorders>
          </w:tcPr>
          <w:p w:rsidR="000301D2" w:rsidRDefault="000301D2" w:rsidP="006010AE">
            <w:r>
              <w:t>0.40</w:t>
            </w:r>
          </w:p>
        </w:tc>
        <w:tc>
          <w:tcPr>
            <w:tcW w:w="895" w:type="pct"/>
            <w:tcBorders>
              <w:bottom w:val="single" w:sz="12" w:space="0" w:color="auto"/>
            </w:tcBorders>
          </w:tcPr>
          <w:p w:rsidR="000301D2" w:rsidRDefault="000301D2" w:rsidP="006010AE">
            <w:r>
              <w:t>0.77 (0.30-1.96)</w:t>
            </w:r>
          </w:p>
        </w:tc>
        <w:tc>
          <w:tcPr>
            <w:tcW w:w="658" w:type="pct"/>
            <w:tcBorders>
              <w:bottom w:val="single" w:sz="12" w:space="0" w:color="auto"/>
            </w:tcBorders>
          </w:tcPr>
          <w:p w:rsidR="000301D2" w:rsidRDefault="000301D2" w:rsidP="006010AE">
            <w:r>
              <w:t>0.59</w:t>
            </w:r>
          </w:p>
        </w:tc>
      </w:tr>
    </w:tbl>
    <w:p w:rsidR="000301D2" w:rsidRDefault="000301D2" w:rsidP="000301D2">
      <w:pPr>
        <w:rPr>
          <w:rFonts w:ascii="Times New Roman" w:hAnsi="Times New Roman" w:cs="Times New Roman"/>
        </w:rPr>
      </w:pPr>
      <w:r>
        <w:rPr>
          <w:rFonts w:ascii="Times New Roman" w:hAnsi="Times New Roman" w:cs="Times New Roman"/>
          <w:sz w:val="18"/>
          <w:szCs w:val="18"/>
          <w:lang w:val="en-GB"/>
        </w:rPr>
        <w:t>§</w:t>
      </w:r>
      <w:r>
        <w:rPr>
          <w:rFonts w:ascii="Times New Roman" w:hAnsi="Times New Roman" w:cs="Times New Roman"/>
          <w:sz w:val="18"/>
          <w:szCs w:val="18"/>
        </w:rPr>
        <w:t>: 2,521 patients with data for all variables, and 3,483 of 3,686 (94.5%) patients were included in the multivariable model, which does not include HBV and HIV. HBV and HIV were not used in the multivariable models since they were not significant predictors in the univariable analysis.</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HCV, Hepatitis C virus; HBV, Hepatitis B virus; HIV, Human immunodeficiency virus; CKD, Chronic kidney disease; eGFR, Estimated glomerular filtration rate; HCC, Hepatocellular carcinoma; GT, Genotype; SVR, Sustained virological response; DAA, Direct-acting antiviral; SOF, Sofosbuvir; VEL, Velpatasvir; RBV, Ribavirin; DCV, Daclatasvir; LDV, Ledipasvir; GLE, Glecaprevir; PIB, Pibrentasvir; CI, Confidence interval. </w:t>
      </w:r>
    </w:p>
    <w:p w:rsidR="000301D2" w:rsidRDefault="000301D2" w:rsidP="000301D2">
      <w:pPr>
        <w:rPr>
          <w:rFonts w:ascii="Times New Roman" w:hAnsi="Times New Roman" w:cs="Times New Roman"/>
        </w:rPr>
      </w:pPr>
    </w:p>
    <w:p w:rsidR="001B7F75" w:rsidRDefault="001B7F75"/>
    <w:sectPr w:rsidR="001B7F7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efaultTabStop w:val="720"/>
  <w:characterSpacingControl w:val="doNotCompress"/>
  <w:compat>
    <w:useFELayout/>
  </w:compat>
  <w:rsids>
    <w:rsidRoot w:val="000301D2"/>
    <w:rsid w:val="000301D2"/>
    <w:rsid w:val="001B7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autoRedefine/>
    <w:uiPriority w:val="39"/>
    <w:qFormat/>
    <w:rsid w:val="000301D2"/>
    <w:pPr>
      <w:spacing w:after="0" w:line="240" w:lineRule="auto"/>
    </w:pPr>
    <w:rPr>
      <w:rFonts w:ascii="Times New Roman" w:eastAsia="宋体"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2024-06-09T09:55:00Z</dcterms:created>
  <dcterms:modified xsi:type="dcterms:W3CDTF">2024-06-09T09:55:00Z</dcterms:modified>
</cp:coreProperties>
</file>