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E7" w:rsidRDefault="007923E7" w:rsidP="007923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</w:rPr>
        <w:t xml:space="preserve">Table 1. </w:t>
      </w:r>
      <w:r>
        <w:rPr>
          <w:rFonts w:ascii="Times New Roman" w:hAnsi="Times New Roman" w:cs="Times New Roman"/>
          <w:sz w:val="24"/>
        </w:rPr>
        <w:t>SVR12 rates (95% CI) in patients infected with HCV GT3 and GT6</w:t>
      </w:r>
      <w:r>
        <w:rPr>
          <w:rStyle w:val="CommentReference"/>
          <w:rFonts w:ascii="Times New Roman" w:hAnsi="Times New Roman" w:cs="Times New Roman"/>
          <w:sz w:val="24"/>
        </w:rPr>
        <w:t xml:space="preserve"> among different DAA regimens</w:t>
      </w:r>
    </w:p>
    <w:tbl>
      <w:tblPr>
        <w:tblStyle w:val="TableGrid"/>
        <w:tblW w:w="499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5"/>
        <w:gridCol w:w="1857"/>
        <w:gridCol w:w="1709"/>
        <w:gridCol w:w="1709"/>
        <w:gridCol w:w="1704"/>
      </w:tblGrid>
      <w:tr w:rsidR="007923E7" w:rsidTr="006010AE">
        <w:trPr>
          <w:trHeight w:val="624"/>
          <w:jc w:val="center"/>
        </w:trPr>
        <w:tc>
          <w:tcPr>
            <w:tcW w:w="105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7923E7" w:rsidRDefault="007923E7" w:rsidP="006010AE"/>
        </w:tc>
        <w:tc>
          <w:tcPr>
            <w:tcW w:w="104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r>
              <w:t>All GT3</w:t>
            </w:r>
          </w:p>
          <w:p w:rsidR="007923E7" w:rsidRDefault="007923E7" w:rsidP="006010AE">
            <w:pPr>
              <w:ind w:firstLineChars="100" w:firstLine="200"/>
            </w:pPr>
            <w:r>
              <w:t>SVR, % (95% CI)</w:t>
            </w:r>
          </w:p>
        </w:tc>
        <w:tc>
          <w:tcPr>
            <w:tcW w:w="965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r>
              <w:t>GT3a</w:t>
            </w:r>
          </w:p>
          <w:p w:rsidR="007923E7" w:rsidRDefault="007923E7" w:rsidP="006010AE">
            <w:pPr>
              <w:ind w:firstLineChars="100" w:firstLine="200"/>
            </w:pPr>
            <w:r>
              <w:t>SVR, % (95% CI)</w:t>
            </w:r>
          </w:p>
        </w:tc>
        <w:tc>
          <w:tcPr>
            <w:tcW w:w="965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r>
              <w:t>GT3b</w:t>
            </w:r>
          </w:p>
          <w:p w:rsidR="007923E7" w:rsidRDefault="007923E7" w:rsidP="006010AE">
            <w:pPr>
              <w:ind w:firstLineChars="100" w:firstLine="200"/>
            </w:pPr>
            <w:r>
              <w:t>SVR, % (95% CI)</w:t>
            </w:r>
          </w:p>
        </w:tc>
        <w:tc>
          <w:tcPr>
            <w:tcW w:w="962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r>
              <w:t>GT6</w:t>
            </w:r>
          </w:p>
          <w:p w:rsidR="007923E7" w:rsidRDefault="007923E7" w:rsidP="006010AE">
            <w:pPr>
              <w:ind w:firstLineChars="100" w:firstLine="200"/>
            </w:pPr>
            <w:r>
              <w:t>SVR, % (95% CI)</w:t>
            </w:r>
          </w:p>
        </w:tc>
      </w:tr>
      <w:tr w:rsidR="007923E7" w:rsidTr="006010AE">
        <w:trPr>
          <w:trHeight w:val="624"/>
          <w:jc w:val="center"/>
        </w:trPr>
        <w:tc>
          <w:tcPr>
            <w:tcW w:w="1058" w:type="pct"/>
            <w:tcBorders>
              <w:top w:val="single" w:sz="8" w:space="0" w:color="auto"/>
            </w:tcBorders>
          </w:tcPr>
          <w:p w:rsidR="007923E7" w:rsidRDefault="007923E7" w:rsidP="006010AE">
            <w:r>
              <w:t>DAA regimens</w:t>
            </w:r>
          </w:p>
        </w:tc>
        <w:tc>
          <w:tcPr>
            <w:tcW w:w="1048" w:type="pct"/>
            <w:tcBorders>
              <w:top w:val="single" w:sz="8" w:space="0" w:color="auto"/>
            </w:tcBorders>
          </w:tcPr>
          <w:p w:rsidR="007923E7" w:rsidRDefault="007923E7" w:rsidP="006010AE"/>
        </w:tc>
        <w:tc>
          <w:tcPr>
            <w:tcW w:w="965" w:type="pct"/>
            <w:tcBorders>
              <w:top w:val="single" w:sz="8" w:space="0" w:color="auto"/>
            </w:tcBorders>
          </w:tcPr>
          <w:p w:rsidR="007923E7" w:rsidRDefault="007923E7" w:rsidP="006010AE"/>
        </w:tc>
        <w:tc>
          <w:tcPr>
            <w:tcW w:w="965" w:type="pct"/>
            <w:tcBorders>
              <w:top w:val="single" w:sz="8" w:space="0" w:color="auto"/>
            </w:tcBorders>
          </w:tcPr>
          <w:p w:rsidR="007923E7" w:rsidRDefault="007923E7" w:rsidP="006010AE"/>
        </w:tc>
        <w:tc>
          <w:tcPr>
            <w:tcW w:w="962" w:type="pct"/>
            <w:tcBorders>
              <w:top w:val="single" w:sz="8" w:space="0" w:color="auto"/>
            </w:tcBorders>
          </w:tcPr>
          <w:p w:rsidR="007923E7" w:rsidRDefault="007923E7" w:rsidP="006010AE"/>
        </w:tc>
      </w:tr>
      <w:tr w:rsidR="007923E7" w:rsidTr="006010AE">
        <w:trPr>
          <w:trHeight w:val="624"/>
          <w:jc w:val="center"/>
        </w:trPr>
        <w:tc>
          <w:tcPr>
            <w:tcW w:w="1058" w:type="pct"/>
            <w:shd w:val="clear" w:color="auto" w:fill="B8CCE4" w:themeFill="accent1" w:themeFillTint="66"/>
          </w:tcPr>
          <w:p w:rsidR="007923E7" w:rsidRDefault="007923E7" w:rsidP="006010AE">
            <w:r>
              <w:t xml:space="preserve">  SOF/RBV</w:t>
            </w:r>
          </w:p>
          <w:p w:rsidR="007923E7" w:rsidRDefault="007923E7" w:rsidP="006010AE">
            <w:r>
              <w:t>(n = 82/22/30/22)</w:t>
            </w:r>
          </w:p>
        </w:tc>
        <w:tc>
          <w:tcPr>
            <w:tcW w:w="1048" w:type="pct"/>
            <w:shd w:val="clear" w:color="auto" w:fill="B8CCE4" w:themeFill="accent1" w:themeFillTint="66"/>
          </w:tcPr>
          <w:p w:rsidR="007923E7" w:rsidRDefault="007923E7" w:rsidP="006010AE">
            <w:r>
              <w:t>91.5 (83.2-96.5)</w:t>
            </w:r>
          </w:p>
        </w:tc>
        <w:tc>
          <w:tcPr>
            <w:tcW w:w="965" w:type="pct"/>
            <w:shd w:val="clear" w:color="auto" w:fill="B8CCE4" w:themeFill="accent1" w:themeFillTint="66"/>
          </w:tcPr>
          <w:p w:rsidR="007923E7" w:rsidRDefault="007923E7" w:rsidP="006010AE">
            <w:r>
              <w:t>100 (84.6-100)*</w:t>
            </w:r>
          </w:p>
        </w:tc>
        <w:tc>
          <w:tcPr>
            <w:tcW w:w="965" w:type="pct"/>
            <w:shd w:val="clear" w:color="auto" w:fill="B8CCE4" w:themeFill="accent1" w:themeFillTint="66"/>
          </w:tcPr>
          <w:p w:rsidR="007923E7" w:rsidRDefault="007923E7" w:rsidP="006010AE">
            <w:r>
              <w:t>100 (88.4-100)*</w:t>
            </w:r>
          </w:p>
        </w:tc>
        <w:tc>
          <w:tcPr>
            <w:tcW w:w="962" w:type="pct"/>
            <w:shd w:val="clear" w:color="auto" w:fill="B8CCE4" w:themeFill="accent1" w:themeFillTint="66"/>
          </w:tcPr>
          <w:p w:rsidR="007923E7" w:rsidRDefault="007923E7" w:rsidP="006010AE">
            <w:r>
              <w:t>100 (84.6-100)*</w:t>
            </w:r>
          </w:p>
        </w:tc>
      </w:tr>
      <w:tr w:rsidR="007923E7" w:rsidTr="006010AE">
        <w:trPr>
          <w:trHeight w:val="624"/>
          <w:jc w:val="center"/>
        </w:trPr>
        <w:tc>
          <w:tcPr>
            <w:tcW w:w="1058" w:type="pct"/>
          </w:tcPr>
          <w:p w:rsidR="007923E7" w:rsidRDefault="007923E7" w:rsidP="006010AE">
            <w:r>
              <w:t xml:space="preserve">  SOF/DCV ± RBV</w:t>
            </w:r>
          </w:p>
          <w:p w:rsidR="007923E7" w:rsidRDefault="007923E7" w:rsidP="006010AE">
            <w:r>
              <w:t>(n = 102/25/35/16)</w:t>
            </w:r>
          </w:p>
        </w:tc>
        <w:tc>
          <w:tcPr>
            <w:tcW w:w="1048" w:type="pct"/>
          </w:tcPr>
          <w:p w:rsidR="007923E7" w:rsidRDefault="007923E7" w:rsidP="006010AE">
            <w:r>
              <w:t>88.2 (80.4-93.8)</w:t>
            </w:r>
          </w:p>
        </w:tc>
        <w:tc>
          <w:tcPr>
            <w:tcW w:w="965" w:type="pct"/>
          </w:tcPr>
          <w:p w:rsidR="007923E7" w:rsidRDefault="007923E7" w:rsidP="006010AE">
            <w:r>
              <w:t>96.0 (79.6-99.9)</w:t>
            </w:r>
          </w:p>
        </w:tc>
        <w:tc>
          <w:tcPr>
            <w:tcW w:w="965" w:type="pct"/>
          </w:tcPr>
          <w:p w:rsidR="007923E7" w:rsidRDefault="007923E7" w:rsidP="006010AE">
            <w:r>
              <w:t>88.6 (73.3-96.8)</w:t>
            </w:r>
          </w:p>
        </w:tc>
        <w:tc>
          <w:tcPr>
            <w:tcW w:w="962" w:type="pct"/>
          </w:tcPr>
          <w:p w:rsidR="007923E7" w:rsidRDefault="007923E7" w:rsidP="006010AE">
            <w:r>
              <w:t>100 (79.4-100)*</w:t>
            </w:r>
          </w:p>
        </w:tc>
      </w:tr>
      <w:tr w:rsidR="007923E7" w:rsidTr="006010AE">
        <w:trPr>
          <w:trHeight w:val="624"/>
          <w:jc w:val="center"/>
        </w:trPr>
        <w:tc>
          <w:tcPr>
            <w:tcW w:w="1058" w:type="pct"/>
            <w:shd w:val="clear" w:color="auto" w:fill="B8CCE4" w:themeFill="accent1" w:themeFillTint="66"/>
          </w:tcPr>
          <w:p w:rsidR="007923E7" w:rsidRDefault="007923E7" w:rsidP="006010AE">
            <w:r>
              <w:t xml:space="preserve">  GLE/PIB</w:t>
            </w:r>
          </w:p>
          <w:p w:rsidR="007923E7" w:rsidRDefault="007923E7" w:rsidP="006010AE">
            <w:r>
              <w:t>(n = 68/11/2/70)</w:t>
            </w:r>
          </w:p>
        </w:tc>
        <w:tc>
          <w:tcPr>
            <w:tcW w:w="1048" w:type="pct"/>
            <w:shd w:val="clear" w:color="auto" w:fill="B8CCE4" w:themeFill="accent1" w:themeFillTint="66"/>
          </w:tcPr>
          <w:p w:rsidR="007923E7" w:rsidRDefault="007923E7" w:rsidP="006010AE">
            <w:r>
              <w:t>94.1 (85.6-98.4)</w:t>
            </w:r>
          </w:p>
        </w:tc>
        <w:tc>
          <w:tcPr>
            <w:tcW w:w="965" w:type="pct"/>
            <w:shd w:val="clear" w:color="auto" w:fill="B8CCE4" w:themeFill="accent1" w:themeFillTint="66"/>
          </w:tcPr>
          <w:p w:rsidR="007923E7" w:rsidRDefault="007923E7" w:rsidP="006010AE">
            <w:r>
              <w:t>100 (71.5-100)*</w:t>
            </w:r>
          </w:p>
        </w:tc>
        <w:tc>
          <w:tcPr>
            <w:tcW w:w="965" w:type="pct"/>
            <w:shd w:val="clear" w:color="auto" w:fill="B8CCE4" w:themeFill="accent1" w:themeFillTint="66"/>
          </w:tcPr>
          <w:p w:rsidR="007923E7" w:rsidRDefault="007923E7" w:rsidP="006010AE">
            <w:r>
              <w:t>100 (15.8-100)*</w:t>
            </w:r>
          </w:p>
        </w:tc>
        <w:tc>
          <w:tcPr>
            <w:tcW w:w="962" w:type="pct"/>
            <w:shd w:val="clear" w:color="auto" w:fill="B8CCE4" w:themeFill="accent1" w:themeFillTint="66"/>
          </w:tcPr>
          <w:p w:rsidR="007923E7" w:rsidRDefault="007923E7" w:rsidP="006010AE">
            <w:r>
              <w:t>100 (94.9-100)*</w:t>
            </w:r>
          </w:p>
        </w:tc>
      </w:tr>
      <w:tr w:rsidR="007923E7" w:rsidTr="006010AE">
        <w:trPr>
          <w:trHeight w:val="624"/>
          <w:jc w:val="center"/>
        </w:trPr>
        <w:tc>
          <w:tcPr>
            <w:tcW w:w="1058" w:type="pct"/>
          </w:tcPr>
          <w:p w:rsidR="007923E7" w:rsidRDefault="007923E7" w:rsidP="006010AE">
            <w:r>
              <w:t xml:space="preserve">  SOF/VEL ± RBV</w:t>
            </w:r>
          </w:p>
          <w:p w:rsidR="007923E7" w:rsidRDefault="007923E7" w:rsidP="006010AE">
            <w:r>
              <w:t>(n = 851/484/168/122)</w:t>
            </w:r>
          </w:p>
        </w:tc>
        <w:tc>
          <w:tcPr>
            <w:tcW w:w="1048" w:type="pct"/>
          </w:tcPr>
          <w:p w:rsidR="007923E7" w:rsidRDefault="007923E7" w:rsidP="006010AE">
            <w:r>
              <w:t>96.2 (94.7-97.4)</w:t>
            </w:r>
          </w:p>
        </w:tc>
        <w:tc>
          <w:tcPr>
            <w:tcW w:w="965" w:type="pct"/>
          </w:tcPr>
          <w:p w:rsidR="007923E7" w:rsidRDefault="007923E7" w:rsidP="006010AE">
            <w:r>
              <w:t>98.1 (96.5-99.1)</w:t>
            </w:r>
          </w:p>
        </w:tc>
        <w:tc>
          <w:tcPr>
            <w:tcW w:w="965" w:type="pct"/>
          </w:tcPr>
          <w:p w:rsidR="007923E7" w:rsidRDefault="007923E7" w:rsidP="006010AE">
            <w:r>
              <w:t>93.4 (88.6-96.7)</w:t>
            </w:r>
          </w:p>
        </w:tc>
        <w:tc>
          <w:tcPr>
            <w:tcW w:w="962" w:type="pct"/>
          </w:tcPr>
          <w:p w:rsidR="007923E7" w:rsidRDefault="007923E7" w:rsidP="006010AE">
            <w:r>
              <w:t>97.5 (93.0-99.5)</w:t>
            </w:r>
          </w:p>
        </w:tc>
      </w:tr>
      <w:tr w:rsidR="007923E7" w:rsidTr="006010AE">
        <w:trPr>
          <w:trHeight w:val="624"/>
          <w:jc w:val="center"/>
        </w:trPr>
        <w:tc>
          <w:tcPr>
            <w:tcW w:w="1058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pPr>
              <w:ind w:firstLineChars="100" w:firstLine="200"/>
            </w:pPr>
            <w:r>
              <w:t>SOF/LDV ± RBV</w:t>
            </w:r>
          </w:p>
          <w:p w:rsidR="007923E7" w:rsidRDefault="007923E7" w:rsidP="006010AE">
            <w:pPr>
              <w:ind w:firstLineChars="100" w:firstLine="200"/>
              <w:rPr>
                <w:b/>
                <w:bCs/>
              </w:rPr>
            </w:pPr>
            <w:r>
              <w:t>(n = 24/6/6/219)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r>
              <w:t>95.8 (78.9-99.9)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r>
              <w:t>100 (54.1-100)*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r>
              <w:t>100 (54.1-100)*</w:t>
            </w:r>
          </w:p>
        </w:tc>
        <w:tc>
          <w:tcPr>
            <w:tcW w:w="962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923E7" w:rsidRDefault="007923E7" w:rsidP="006010AE">
            <w:r>
              <w:t>98.2 (95.4-99.5)</w:t>
            </w:r>
          </w:p>
        </w:tc>
      </w:tr>
    </w:tbl>
    <w:p w:rsidR="007923E7" w:rsidRDefault="007923E7" w:rsidP="007923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*one-sided, 97.5% confidence interval.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HCV, Hepatitis C virus; SVR, Sustained virological response; GT, Genotype; DAA, Direct-acting antiviral; SOF, Sofosbuvir; VEL, Velpatasvir; RBV, Ribavirin; DCV, Daclatasvir; LDV, Ledipasvir; GLE, Glecaprevir; PIB, Pibrentasvir; CI, Confidence interval.</w:t>
      </w:r>
    </w:p>
    <w:p w:rsidR="00F167BD" w:rsidRDefault="00F167BD"/>
    <w:sectPr w:rsidR="00F167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7923E7"/>
    <w:rsid w:val="007923E7"/>
    <w:rsid w:val="00F1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uiPriority w:val="39"/>
    <w:qFormat/>
    <w:rsid w:val="007923E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autoRedefine/>
    <w:uiPriority w:val="99"/>
    <w:qFormat/>
    <w:rsid w:val="007923E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2024-06-09T09:55:00Z</dcterms:created>
  <dcterms:modified xsi:type="dcterms:W3CDTF">2024-06-09T09:55:00Z</dcterms:modified>
</cp:coreProperties>
</file>