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A3" w:rsidRDefault="00C300A3" w:rsidP="00C300A3">
      <w:pPr>
        <w:rPr>
          <w:rFonts w:ascii="Times New Roman" w:hAnsi="Times New Roman" w:cs="Times New Roman"/>
          <w:sz w:val="24"/>
          <w:szCs w:val="24"/>
        </w:rPr>
      </w:pPr>
    </w:p>
    <w:p w:rsidR="00C300A3" w:rsidRPr="00982C0C" w:rsidRDefault="00C300A3" w:rsidP="00C300A3">
      <w:pPr>
        <w:rPr>
          <w:rFonts w:ascii="Times New Roman" w:hAnsi="Times New Roman" w:cs="Times New Roman"/>
          <w:sz w:val="24"/>
          <w:szCs w:val="24"/>
        </w:rPr>
        <w:sectPr w:rsidR="00C300A3" w:rsidRPr="00982C0C" w:rsidSect="00C300A3">
          <w:footerReference w:type="default" r:id="rId4"/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tbl>
      <w:tblPr>
        <w:tblW w:w="11040" w:type="dxa"/>
        <w:tblInd w:w="-1418" w:type="dxa"/>
        <w:tblLook w:val="04A0"/>
      </w:tblPr>
      <w:tblGrid>
        <w:gridCol w:w="1276"/>
        <w:gridCol w:w="2871"/>
        <w:gridCol w:w="2037"/>
        <w:gridCol w:w="1193"/>
        <w:gridCol w:w="2645"/>
        <w:gridCol w:w="1018"/>
      </w:tblGrid>
      <w:tr w:rsidR="00C300A3" w:rsidRPr="00982C0C" w:rsidTr="000A6325">
        <w:trPr>
          <w:trHeight w:val="20"/>
        </w:trPr>
        <w:tc>
          <w:tcPr>
            <w:tcW w:w="11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lastRenderedPageBreak/>
              <w:t xml:space="preserve">Supplementary Table 1. Stepwise multivariable Cox regression models for mortality in PSVD patients </w:t>
            </w:r>
          </w:p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(baseline adjusted for age and PVT)</w:t>
            </w:r>
          </w:p>
        </w:tc>
      </w:tr>
      <w:tr w:rsidR="00C300A3" w:rsidRPr="00982C0C" w:rsidTr="000A6325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Additional variable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HR of PVT </w:t>
            </w: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br/>
              <w:t>(95% CI)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HR of added variable </w:t>
            </w:r>
          </w:p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(95% CI)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</w:tr>
      <w:tr w:rsidR="00C300A3" w:rsidRPr="00982C0C" w:rsidTr="000A6325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+ Ascites 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(Yes vs. No)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5.1</w:t>
            </w:r>
            <w:r w:rsidRPr="00982C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(0.71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36.55)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0.19 (0.02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1.56)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0.123</w:t>
            </w:r>
          </w:p>
        </w:tc>
      </w:tr>
      <w:tr w:rsidR="00C300A3" w:rsidRPr="00982C0C" w:rsidTr="000A6325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+ Comorbidities 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(Yes vs. No)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2.61 (0.40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17.19)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0.318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1.15 (0.15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8.80)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0.896</w:t>
            </w:r>
          </w:p>
        </w:tc>
      </w:tr>
      <w:tr w:rsidR="00C300A3" w:rsidRPr="00982C0C" w:rsidTr="000A6325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+ TBil (μmol/L)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1.93 (0.31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12.21)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0.484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1.07 (1.00, 1.14)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0.051</w:t>
            </w:r>
          </w:p>
        </w:tc>
      </w:tr>
      <w:tr w:rsidR="00C300A3" w:rsidRPr="00982C0C" w:rsidTr="000A6325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+ ALB (g/L)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3.33 (0.48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22.94)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0.221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0.88 (0.75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1.03)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0.099</w:t>
            </w:r>
          </w:p>
        </w:tc>
      </w:tr>
      <w:tr w:rsidR="00C300A3" w:rsidRPr="00982C0C" w:rsidTr="000A6325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+ INR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2.71 (0.42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17.25)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0.292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109.91 (1.49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8101.50)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0.032</w:t>
            </w:r>
          </w:p>
        </w:tc>
      </w:tr>
      <w:tr w:rsidR="00C300A3" w:rsidRPr="00982C0C" w:rsidTr="000A6325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+ Cr (μmol/L)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2.6</w:t>
            </w:r>
            <w:r w:rsidRPr="00982C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(0.40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17.01)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0.318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0.97 (0.91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1.04)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0.424</w:t>
            </w:r>
          </w:p>
        </w:tc>
      </w:tr>
      <w:tr w:rsidR="00C300A3" w:rsidRPr="00982C0C" w:rsidTr="000A6325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+ Child-Pugh Class 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(B+C vs. A)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2.92 (0.45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19.13)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0.263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0.73 (0.10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5.38)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0A3" w:rsidRPr="00982C0C" w:rsidRDefault="00C300A3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0.761</w:t>
            </w:r>
          </w:p>
        </w:tc>
      </w:tr>
      <w:tr w:rsidR="00C300A3" w:rsidRPr="00982C0C" w:rsidTr="000A6325">
        <w:trPr>
          <w:trHeight w:val="20"/>
        </w:trPr>
        <w:tc>
          <w:tcPr>
            <w:tcW w:w="110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0A3" w:rsidRPr="00982C0C" w:rsidRDefault="00C300A3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Data are expressed as </w:t>
            </w:r>
            <w:r w:rsidRPr="00982C0C">
              <w:rPr>
                <w:rFonts w:ascii="Times New Roman" w:hAnsi="Times New Roman" w:cs="Times New Roman"/>
                <w:sz w:val="24"/>
              </w:rPr>
              <w:t>median (IQR).</w:t>
            </w:r>
            <w:r w:rsidRPr="00982C0C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PSVD, porto-sinusoidal vascular disease; PVT, portal vein thrombosis; HR, hazard ratio; CI, confidence interval; TBil, total bilirubin; ALB, albumin; Cr, creatinine.</w:t>
            </w:r>
          </w:p>
        </w:tc>
      </w:tr>
    </w:tbl>
    <w:p w:rsidR="00F80C97" w:rsidRDefault="00F80C97"/>
    <w:sectPr w:rsidR="00F80C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101473"/>
      <w:docPartObj>
        <w:docPartGallery w:val="AutoText"/>
      </w:docPartObj>
    </w:sdtPr>
    <w:sdtEndPr/>
    <w:sdtContent>
      <w:p w:rsidR="00153D59" w:rsidRDefault="00F80C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0A3" w:rsidRPr="00C300A3">
          <w:rPr>
            <w:noProof/>
            <w:lang w:val="zh-CN"/>
          </w:rPr>
          <w:t>2</w:t>
        </w:r>
        <w:r>
          <w:fldChar w:fldCharType="end"/>
        </w:r>
      </w:p>
    </w:sdtContent>
  </w:sdt>
  <w:p w:rsidR="00153D59" w:rsidRDefault="00F80C9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C300A3"/>
    <w:rsid w:val="00C300A3"/>
    <w:rsid w:val="00F8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0A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300A3"/>
    <w:rPr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2025-08-21T14:26:00Z</dcterms:created>
  <dcterms:modified xsi:type="dcterms:W3CDTF">2025-08-21T14:26:00Z</dcterms:modified>
</cp:coreProperties>
</file>