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FF9" w:rsidRDefault="00927FF9" w:rsidP="00927FF9">
      <w:pPr>
        <w:spacing w:line="360" w:lineRule="auto"/>
        <w:jc w:val="both"/>
        <w:rPr>
          <w:rFonts w:ascii="Times New Roman" w:hAnsi="Times New Roman" w:cs="Times New Roman"/>
        </w:rPr>
      </w:pPr>
      <w:r>
        <w:rPr>
          <w:rFonts w:ascii="Times New Roman" w:hAnsi="Times New Roman" w:cs="Times New Roman"/>
          <w:b/>
          <w:bCs/>
          <w:sz w:val="28"/>
          <w:szCs w:val="28"/>
        </w:rPr>
        <w:t>Supplementary</w:t>
      </w:r>
      <w:r>
        <w:rPr>
          <w:rFonts w:ascii="Times New Roman" w:eastAsia="PingFangSC-Medium" w:hAnsi="Times New Roman" w:cs="Times New Roman"/>
          <w:shd w:val="clear" w:color="auto" w:fill="FFFFFF"/>
        </w:rPr>
        <w:t xml:space="preserve"> File 3</w:t>
      </w:r>
      <w:r>
        <w:rPr>
          <w:rFonts w:ascii="Times New Roman" w:hAnsi="Times New Roman"/>
        </w:rPr>
        <w:t xml:space="preserve">: Internal training and external </w:t>
      </w:r>
      <w:r>
        <w:rPr>
          <w:rFonts w:ascii="Times New Roman" w:hAnsi="Times New Roman" w:cs="Times New Roman"/>
        </w:rPr>
        <w:t>validation.</w:t>
      </w:r>
    </w:p>
    <w:p w:rsidR="00927FF9" w:rsidRDefault="00927FF9" w:rsidP="00927FF9">
      <w:pPr>
        <w:autoSpaceDE w:val="0"/>
        <w:autoSpaceDN w:val="0"/>
        <w:adjustRightInd w:val="0"/>
        <w:snapToGrid w:val="0"/>
        <w:spacing w:beforeLines="50" w:afterLines="50" w:line="360" w:lineRule="auto"/>
        <w:ind w:leftChars="100" w:left="220"/>
        <w:jc w:val="both"/>
        <w:rPr>
          <w:rFonts w:ascii="Times New Roman" w:hAnsi="Times New Roman" w:cs="Times New Roman"/>
        </w:rPr>
      </w:pPr>
      <w:r>
        <w:rPr>
          <w:rFonts w:ascii="Times New Roman" w:hAnsi="Times New Roman" w:cs="Times New Roman"/>
        </w:rPr>
        <w:t>Among</w:t>
      </w:r>
      <w:r>
        <w:rPr>
          <w:rFonts w:ascii="Times New Roman" w:hAnsi="Times New Roman"/>
        </w:rPr>
        <w:t xml:space="preserve"> the 57 enrolled liver failure patients, the cohort was stratified into an internal training set (n = 38, 70%) and an external validation set (n = 19, 30%). Key coagulation parameters, including TEG indices (R, K, MA, Angle, CI</w:t>
      </w:r>
      <w:r>
        <w:rPr>
          <w:rFonts w:ascii="Times New Roman" w:hAnsi="Times New Roman"/>
          <w:vertAlign w:val="superscript"/>
        </w:rPr>
        <w:t>#</w:t>
      </w:r>
      <w:r>
        <w:rPr>
          <w:rFonts w:ascii="Times New Roman" w:hAnsi="Times New Roman"/>
        </w:rPr>
        <w:t xml:space="preserve">) and DIC markers (APTT, thrombin time (TT), international normalized ratio (INR), prothrombin time (PT), fibrinogen (FIB)), were analyzed as primary observational endpoints. Potential confounding factors influencing coagulation, such as nafamostat mesylate (NM) dosage, estimated glomerular filtration rate (eGFR), and platelet (PLT), were included in univariate logistic regression analysis. Variables with </w:t>
      </w:r>
      <w:r>
        <w:rPr>
          <w:rFonts w:ascii="Times New Roman" w:hAnsi="Times New Roman" w:cs="Times New Roman"/>
          <w:i/>
          <w:iCs/>
        </w:rPr>
        <w:t>P</w:t>
      </w:r>
      <w:r>
        <w:rPr>
          <w:rFonts w:ascii="Times New Roman" w:hAnsi="Times New Roman" w:cs="Times New Roman"/>
        </w:rPr>
        <w:t xml:space="preserve"> &lt;</w:t>
      </w:r>
      <w:r>
        <w:rPr>
          <w:rFonts w:ascii="Times New Roman" w:hAnsi="Times New Roman"/>
        </w:rPr>
        <w:t xml:space="preserve"> 0.2 in univariate analysis were further incorporated into multivariable logistic regression. Stratification was based on whether the post-cALSS R value (measured at 0.5 h) exceeded the upper normal limit (10 m)</w:t>
      </w:r>
      <w:r>
        <w:rPr>
          <w:rFonts w:ascii="Times New Roman" w:hAnsi="Times New Roman" w:cs="Times New Roman"/>
        </w:rPr>
        <w:t>.</w:t>
      </w:r>
    </w:p>
    <w:p w:rsidR="00110C40" w:rsidRDefault="00110C40"/>
    <w:sectPr w:rsidR="00110C4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PingFangSC-Medium">
    <w:altName w:val="Arial Unicode MS"/>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0"/>
  <w:defaultTabStop w:val="720"/>
  <w:characterSpacingControl w:val="doNotCompress"/>
  <w:compat>
    <w:useFELayout/>
  </w:compat>
  <w:rsids>
    <w:rsidRoot w:val="00927FF9"/>
    <w:rsid w:val="00110C40"/>
    <w:rsid w:val="00927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2</cp:revision>
  <dcterms:created xsi:type="dcterms:W3CDTF">2025-03-13T11:58:00Z</dcterms:created>
  <dcterms:modified xsi:type="dcterms:W3CDTF">2025-03-13T11:58:00Z</dcterms:modified>
</cp:coreProperties>
</file>