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B5" w:rsidRDefault="00A864B5" w:rsidP="00A864B5">
      <w:pPr>
        <w:spacing w:after="0" w:line="480" w:lineRule="auto"/>
        <w:rPr>
          <w:rFonts w:ascii="Arial" w:eastAsia="宋体" w:hAnsi="Arial" w:cs="Arial"/>
          <w:szCs w:val="24"/>
          <w:lang w:eastAsia="zh-CN"/>
        </w:rPr>
      </w:pPr>
      <w:r>
        <w:rPr>
          <w:rFonts w:ascii="Arial" w:eastAsia="宋体" w:hAnsi="Arial" w:cs="Arial"/>
          <w:b/>
          <w:bCs/>
          <w:szCs w:val="24"/>
          <w:lang w:eastAsia="zh-CN"/>
        </w:rPr>
        <w:t>Supplementary Table 1</w:t>
      </w:r>
      <w:r>
        <w:rPr>
          <w:rFonts w:ascii="Arial" w:eastAsia="宋体" w:hAnsi="Arial" w:cs="Arial"/>
          <w:szCs w:val="24"/>
          <w:lang w:eastAsia="zh-CN"/>
        </w:rPr>
        <w:t>. Effects of BGXZW and PPC on body weight in MCD diet-fed rats</w:t>
      </w:r>
    </w:p>
    <w:tbl>
      <w:tblPr>
        <w:tblStyle w:val="TableGrid"/>
        <w:tblW w:w="4875" w:type="pct"/>
        <w:tblInd w:w="92" w:type="dxa"/>
        <w:tblLook w:val="04A0"/>
      </w:tblPr>
      <w:tblGrid>
        <w:gridCol w:w="2914"/>
        <w:gridCol w:w="2920"/>
        <w:gridCol w:w="2801"/>
      </w:tblGrid>
      <w:tr w:rsidR="00A864B5" w:rsidTr="00021FA9">
        <w:trPr>
          <w:trHeight w:val="624"/>
        </w:trPr>
        <w:tc>
          <w:tcPr>
            <w:tcW w:w="1687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Groups</w:t>
            </w:r>
          </w:p>
        </w:tc>
        <w:tc>
          <w:tcPr>
            <w:tcW w:w="3312" w:type="pct"/>
            <w:gridSpan w:val="2"/>
            <w:tcBorders>
              <w:left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Body weight (g)</w:t>
            </w:r>
          </w:p>
        </w:tc>
      </w:tr>
      <w:tr w:rsidR="00A864B5" w:rsidTr="00021FA9">
        <w:trPr>
          <w:trHeight w:val="624"/>
        </w:trPr>
        <w:tc>
          <w:tcPr>
            <w:tcW w:w="1687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90" w:type="pct"/>
            <w:tcBorders>
              <w:left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Day 1</w:t>
            </w:r>
          </w:p>
        </w:tc>
        <w:tc>
          <w:tcPr>
            <w:tcW w:w="1622" w:type="pct"/>
            <w:tcBorders>
              <w:left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Day 28</w:t>
            </w:r>
          </w:p>
        </w:tc>
      </w:tr>
      <w:tr w:rsidR="00A864B5" w:rsidTr="00021FA9">
        <w:trPr>
          <w:trHeight w:val="624"/>
        </w:trPr>
        <w:tc>
          <w:tcPr>
            <w:tcW w:w="1687" w:type="pct"/>
            <w:tcBorders>
              <w:left w:val="nil"/>
              <w:bottom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Ctrl group</w:t>
            </w:r>
          </w:p>
        </w:tc>
        <w:tc>
          <w:tcPr>
            <w:tcW w:w="1690" w:type="pct"/>
            <w:tcBorders>
              <w:left w:val="nil"/>
              <w:bottom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185.9 ± 2.8</w:t>
            </w:r>
            <w:r>
              <w:rPr>
                <w:rFonts w:ascii="Arial" w:hAnsi="Arial" w:cs="Arial"/>
                <w:szCs w:val="24"/>
                <w:vertAlign w:val="superscript"/>
              </w:rPr>
              <w:t>a</w:t>
            </w:r>
          </w:p>
        </w:tc>
        <w:tc>
          <w:tcPr>
            <w:tcW w:w="1622" w:type="pct"/>
            <w:tcBorders>
              <w:left w:val="nil"/>
              <w:bottom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219.6 ± 4.8</w:t>
            </w:r>
          </w:p>
        </w:tc>
      </w:tr>
      <w:tr w:rsidR="00A864B5" w:rsidTr="00021FA9">
        <w:trPr>
          <w:trHeight w:val="624"/>
        </w:trPr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Model group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195.0 ± 3.4</w:t>
            </w:r>
            <w:r>
              <w:rPr>
                <w:rFonts w:ascii="Arial" w:hAnsi="Arial" w:cs="Arial"/>
                <w:szCs w:val="24"/>
                <w:vertAlign w:val="superscript"/>
              </w:rPr>
              <w:t>a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158.7 ± 1.6</w:t>
            </w:r>
            <w:r>
              <w:rPr>
                <w:rFonts w:ascii="Arial" w:hAnsi="Arial" w:cs="Arial"/>
                <w:szCs w:val="24"/>
                <w:vertAlign w:val="superscript"/>
              </w:rPr>
              <w:t>b, #</w:t>
            </w:r>
          </w:p>
        </w:tc>
      </w:tr>
      <w:tr w:rsidR="00A864B5" w:rsidTr="00021FA9">
        <w:trPr>
          <w:trHeight w:val="624"/>
        </w:trPr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PPC group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183.5 ± 2.4</w:t>
            </w:r>
            <w:r>
              <w:rPr>
                <w:rFonts w:ascii="Arial" w:hAnsi="Arial" w:cs="Arial"/>
                <w:szCs w:val="24"/>
                <w:vertAlign w:val="superscript"/>
              </w:rPr>
              <w:t>a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152.4 ± 2.5</w:t>
            </w:r>
            <w:r>
              <w:rPr>
                <w:rFonts w:ascii="Arial" w:hAnsi="Arial" w:cs="Arial"/>
                <w:szCs w:val="24"/>
                <w:vertAlign w:val="superscript"/>
              </w:rPr>
              <w:t>b</w:t>
            </w:r>
          </w:p>
        </w:tc>
      </w:tr>
      <w:tr w:rsidR="00A864B5" w:rsidTr="00021FA9">
        <w:trPr>
          <w:trHeight w:val="624"/>
        </w:trPr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BG-L group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192.6 ± 3.2</w:t>
            </w:r>
            <w:r>
              <w:rPr>
                <w:rFonts w:ascii="Arial" w:hAnsi="Arial" w:cs="Arial"/>
                <w:szCs w:val="24"/>
                <w:vertAlign w:val="superscript"/>
              </w:rPr>
              <w:t>a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158.8 ± 3.9</w:t>
            </w:r>
            <w:r>
              <w:rPr>
                <w:rFonts w:ascii="Arial" w:hAnsi="Arial" w:cs="Arial"/>
                <w:szCs w:val="24"/>
                <w:vertAlign w:val="superscript"/>
              </w:rPr>
              <w:t>b</w:t>
            </w:r>
          </w:p>
        </w:tc>
      </w:tr>
      <w:tr w:rsidR="00A864B5" w:rsidTr="00021FA9">
        <w:trPr>
          <w:trHeight w:val="624"/>
        </w:trPr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BG-H group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187.8 ± 2.5</w:t>
            </w:r>
            <w:r>
              <w:rPr>
                <w:rFonts w:ascii="Arial" w:hAnsi="Arial" w:cs="Arial"/>
                <w:szCs w:val="24"/>
                <w:vertAlign w:val="superscript"/>
              </w:rPr>
              <w:t>a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155.7 ± 1.5</w:t>
            </w:r>
            <w:r>
              <w:rPr>
                <w:rFonts w:ascii="Arial" w:hAnsi="Arial" w:cs="Arial"/>
                <w:szCs w:val="24"/>
                <w:vertAlign w:val="superscript"/>
              </w:rPr>
              <w:t>b</w:t>
            </w:r>
          </w:p>
        </w:tc>
      </w:tr>
      <w:tr w:rsidR="00A864B5" w:rsidTr="00021FA9">
        <w:trPr>
          <w:trHeight w:val="624"/>
        </w:trPr>
        <w:tc>
          <w:tcPr>
            <w:tcW w:w="1687" w:type="pct"/>
            <w:tcBorders>
              <w:top w:val="nil"/>
              <w:left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SW group</w:t>
            </w:r>
          </w:p>
        </w:tc>
        <w:tc>
          <w:tcPr>
            <w:tcW w:w="1690" w:type="pct"/>
            <w:tcBorders>
              <w:top w:val="nil"/>
              <w:left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193.8 ± 2.5</w:t>
            </w:r>
            <w:r>
              <w:rPr>
                <w:rFonts w:ascii="Arial" w:hAnsi="Arial" w:cs="Arial"/>
                <w:szCs w:val="24"/>
                <w:vertAlign w:val="superscript"/>
              </w:rPr>
              <w:t>a</w:t>
            </w:r>
          </w:p>
        </w:tc>
        <w:tc>
          <w:tcPr>
            <w:tcW w:w="1622" w:type="pct"/>
            <w:tcBorders>
              <w:top w:val="nil"/>
              <w:left w:val="nil"/>
              <w:right w:val="nil"/>
            </w:tcBorders>
            <w:vAlign w:val="center"/>
          </w:tcPr>
          <w:p w:rsidR="00A864B5" w:rsidRDefault="00A864B5" w:rsidP="00021FA9">
            <w:pPr>
              <w:widowControl/>
              <w:spacing w:line="48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159.4 ± 3.5</w:t>
            </w:r>
            <w:r>
              <w:rPr>
                <w:rFonts w:ascii="Arial" w:hAnsi="Arial" w:cs="Arial"/>
                <w:szCs w:val="24"/>
                <w:vertAlign w:val="superscript"/>
              </w:rPr>
              <w:t>b</w:t>
            </w:r>
          </w:p>
        </w:tc>
      </w:tr>
    </w:tbl>
    <w:p w:rsidR="00A864B5" w:rsidRDefault="00A864B5" w:rsidP="00A864B5">
      <w:pPr>
        <w:spacing w:after="0" w:line="360" w:lineRule="auto"/>
        <w:rPr>
          <w:rFonts w:ascii="Arial" w:eastAsia="宋体" w:hAnsi="Arial" w:cs="Arial"/>
          <w:szCs w:val="24"/>
        </w:rPr>
      </w:pPr>
      <w:r>
        <w:rPr>
          <w:rFonts w:ascii="Arial" w:eastAsia="AdvEPSTIM-I" w:hAnsi="Arial" w:cs="Arial"/>
          <w:szCs w:val="24"/>
        </w:rPr>
        <w:t>R</w:t>
      </w:r>
      <w:r>
        <w:rPr>
          <w:rFonts w:ascii="Arial" w:eastAsia="AdvEPSTIM-I" w:hAnsi="Arial" w:cs="Arial"/>
          <w:szCs w:val="24"/>
          <w:lang w:val="en-GB"/>
        </w:rPr>
        <w:t>esults are expressed as the mean ± S</w:t>
      </w:r>
      <w:r>
        <w:rPr>
          <w:rFonts w:ascii="Arial" w:eastAsia="AdvEPSTIM-I" w:hAnsi="Arial" w:cs="Arial"/>
          <w:szCs w:val="24"/>
          <w:lang w:eastAsia="zh-CN"/>
        </w:rPr>
        <w:t>EM (n = 8 rats in each group)</w:t>
      </w:r>
      <w:r>
        <w:rPr>
          <w:rFonts w:ascii="Arial" w:eastAsia="AdvEPSTIM-I" w:hAnsi="Arial" w:cs="Arial"/>
          <w:szCs w:val="24"/>
          <w:lang w:val="en-GB"/>
        </w:rPr>
        <w:t>.</w:t>
      </w:r>
      <w:r>
        <w:rPr>
          <w:rFonts w:ascii="Arial" w:eastAsia="宋体" w:hAnsi="Arial" w:cs="Arial"/>
          <w:szCs w:val="24"/>
          <w:lang w:eastAsia="zh-CN"/>
        </w:rPr>
        <w:t xml:space="preserve"> Significant differences </w:t>
      </w:r>
      <w:r>
        <w:rPr>
          <w:rFonts w:ascii="Arial" w:eastAsia="宋体" w:hAnsi="Arial" w:cs="Arial"/>
          <w:i/>
          <w:iCs/>
          <w:szCs w:val="24"/>
          <w:lang w:eastAsia="zh-CN"/>
        </w:rPr>
        <w:t>(p</w:t>
      </w:r>
      <w:r>
        <w:rPr>
          <w:rFonts w:ascii="Arial" w:eastAsia="宋体" w:hAnsi="Arial" w:cs="Arial"/>
          <w:szCs w:val="24"/>
          <w:lang w:eastAsia="zh-CN"/>
        </w:rPr>
        <w:t xml:space="preserve"> &lt; 0.05) between means are indicated by different letters above the histogram bars. The same letters indicate no significant difference among the different groups. </w:t>
      </w:r>
      <w:r>
        <w:rPr>
          <w:rFonts w:ascii="Arial" w:eastAsia="AdvEPSTIM-I" w:hAnsi="Arial" w:cs="Arial"/>
          <w:szCs w:val="24"/>
          <w:vertAlign w:val="superscript"/>
        </w:rPr>
        <w:t>#</w:t>
      </w:r>
      <w:r>
        <w:rPr>
          <w:rFonts w:ascii="Arial" w:hAnsi="Arial" w:cs="Arial"/>
          <w:i/>
          <w:szCs w:val="24"/>
          <w:lang w:val="en-GB"/>
        </w:rPr>
        <w:t xml:space="preserve">p </w:t>
      </w:r>
      <w:r>
        <w:rPr>
          <w:rFonts w:ascii="Arial" w:hAnsi="Arial" w:cs="Arial"/>
          <w:szCs w:val="24"/>
          <w:lang w:val="en-GB"/>
        </w:rPr>
        <w:t>&lt; 0.0</w:t>
      </w:r>
      <w:r>
        <w:rPr>
          <w:rFonts w:ascii="Arial" w:eastAsia="宋体" w:hAnsi="Arial" w:cs="Arial"/>
          <w:szCs w:val="24"/>
          <w:lang w:eastAsia="zh-CN"/>
        </w:rPr>
        <w:t>5</w:t>
      </w:r>
      <w:r>
        <w:rPr>
          <w:rFonts w:ascii="Arial" w:hAnsi="Arial" w:cs="Arial"/>
          <w:szCs w:val="24"/>
          <w:lang w:val="en-GB"/>
        </w:rPr>
        <w:t xml:space="preserve"> compared with the</w:t>
      </w:r>
      <w:r>
        <w:rPr>
          <w:rFonts w:ascii="Arial" w:hAnsi="Arial" w:cs="Arial"/>
          <w:szCs w:val="24"/>
        </w:rPr>
        <w:t xml:space="preserve"> control</w:t>
      </w:r>
      <w:r>
        <w:rPr>
          <w:rFonts w:ascii="Arial" w:hAnsi="Arial" w:cs="Arial"/>
          <w:szCs w:val="24"/>
          <w:lang w:val="en-GB"/>
        </w:rPr>
        <w:t xml:space="preserve"> group</w:t>
      </w:r>
      <w:r>
        <w:rPr>
          <w:rFonts w:ascii="Arial" w:eastAsia="宋体" w:hAnsi="Arial" w:cs="Arial"/>
          <w:szCs w:val="24"/>
          <w:lang w:eastAsia="zh-CN"/>
        </w:rPr>
        <w:t>.</w:t>
      </w:r>
      <w:r>
        <w:rPr>
          <w:rFonts w:ascii="Arial" w:eastAsia="AdvEPSTIM-I" w:hAnsi="Arial" w:cs="Arial"/>
          <w:szCs w:val="24"/>
        </w:rPr>
        <w:t xml:space="preserve"> </w:t>
      </w:r>
      <w:bookmarkStart w:id="0" w:name="OLE_LINK35"/>
      <w:r>
        <w:rPr>
          <w:rFonts w:ascii="Arial" w:hAnsi="Arial" w:cs="Arial"/>
          <w:szCs w:val="24"/>
          <w:lang w:eastAsia="zh-CN"/>
        </w:rPr>
        <w:t xml:space="preserve">Ctrl group, MCS diet and fed with pure </w:t>
      </w:r>
      <w:r>
        <w:rPr>
          <w:rFonts w:ascii="Arial" w:hAnsi="Arial" w:cs="Arial"/>
          <w:szCs w:val="24"/>
        </w:rPr>
        <w:t>water</w:t>
      </w:r>
      <w:r>
        <w:rPr>
          <w:rFonts w:ascii="Arial" w:eastAsia="宋体" w:hAnsi="Arial" w:cs="Arial"/>
          <w:szCs w:val="24"/>
          <w:lang w:eastAsia="zh-CN"/>
        </w:rPr>
        <w:t>;</w:t>
      </w:r>
      <w:r>
        <w:rPr>
          <w:rFonts w:ascii="Arial" w:hAnsi="Arial" w:cs="Arial"/>
          <w:szCs w:val="24"/>
          <w:lang w:eastAsia="zh-CN"/>
        </w:rPr>
        <w:t xml:space="preserve"> group; Model group, MCD diet and fed with pure </w:t>
      </w:r>
      <w:r>
        <w:rPr>
          <w:rFonts w:ascii="Arial" w:hAnsi="Arial" w:cs="Arial"/>
          <w:szCs w:val="24"/>
        </w:rPr>
        <w:t>water</w:t>
      </w:r>
      <w:r>
        <w:rPr>
          <w:rFonts w:ascii="Arial" w:eastAsia="宋体" w:hAnsi="Arial" w:cs="Arial"/>
          <w:szCs w:val="24"/>
          <w:lang w:eastAsia="zh-CN"/>
        </w:rPr>
        <w:t xml:space="preserve">; </w:t>
      </w:r>
      <w:r>
        <w:rPr>
          <w:rFonts w:ascii="Arial" w:hAnsi="Arial" w:cs="Arial"/>
          <w:szCs w:val="24"/>
          <w:lang w:eastAsia="zh-CN"/>
        </w:rPr>
        <w:t>PPC group, MCD diet and fed with PPC (120 mg/kg/d)</w:t>
      </w:r>
      <w:r>
        <w:rPr>
          <w:rFonts w:ascii="Arial" w:eastAsia="宋体" w:hAnsi="Arial" w:cs="Arial"/>
          <w:szCs w:val="24"/>
          <w:lang w:eastAsia="zh-CN"/>
        </w:rPr>
        <w:t xml:space="preserve">; </w:t>
      </w:r>
      <w:r>
        <w:rPr>
          <w:rFonts w:ascii="Arial" w:hAnsi="Arial" w:cs="Arial"/>
          <w:szCs w:val="24"/>
          <w:lang w:eastAsia="zh-CN"/>
        </w:rPr>
        <w:t xml:space="preserve">BG-L group, MCD diet and fed with low-dose BGXZW (1.67 g/kg/d); BG-H group, MCD diet and fed with high-dose BGXZW (5 g/kg/d); SW group, MCD diet and fed with SWQGT (3 g/kg/d). </w:t>
      </w:r>
      <w:bookmarkEnd w:id="0"/>
      <w:r>
        <w:rPr>
          <w:rFonts w:ascii="Arial" w:eastAsia="宋体" w:hAnsi="Arial" w:cs="Arial"/>
          <w:szCs w:val="24"/>
          <w:lang w:eastAsia="zh-CN"/>
        </w:rPr>
        <w:t xml:space="preserve">MCD, methionine choline deficiency; MCS, methionine and choline-sufficient; BGXZW, Bao-Gan-Xiao-Zhi-Wan; SWQGT, Si-Wei-Qing-Gan-Tang. </w:t>
      </w:r>
    </w:p>
    <w:p w:rsidR="00ED6D06" w:rsidRDefault="00ED6D06"/>
    <w:sectPr w:rsidR="00ED6D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PSTIM-I">
    <w:altName w:val="ËÎÌå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864B5"/>
    <w:rsid w:val="00A864B5"/>
    <w:rsid w:val="00ED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qFormat/>
    <w:rsid w:val="00A864B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2024-04-10T03:13:00Z</dcterms:created>
  <dcterms:modified xsi:type="dcterms:W3CDTF">2024-04-10T03:13:00Z</dcterms:modified>
</cp:coreProperties>
</file>