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E8" w:rsidRPr="006A6748" w:rsidRDefault="006A76E8" w:rsidP="006A76E8">
      <w:pPr>
        <w:snapToGrid w:val="0"/>
        <w:spacing w:line="480" w:lineRule="auto"/>
        <w:rPr>
          <w:color w:val="000000" w:themeColor="text1"/>
          <w:sz w:val="24"/>
          <w:szCs w:val="24"/>
        </w:rPr>
      </w:pPr>
    </w:p>
    <w:p w:rsidR="006A76E8" w:rsidRPr="006A6748" w:rsidRDefault="006A76E8" w:rsidP="006A76E8">
      <w:pPr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Supplementary</w:t>
      </w:r>
      <w:r w:rsidRPr="006A6748">
        <w:rPr>
          <w:rFonts w:ascii="Times New Roman" w:eastAsia="等线" w:hAnsi="Times New Roman" w:cs="Times New Roman"/>
          <w:b/>
          <w:color w:val="000000" w:themeColor="text1"/>
          <w:sz w:val="24"/>
          <w:szCs w:val="24"/>
          <w:lang/>
        </w:rPr>
        <w:t xml:space="preserve"> Table 4. Summary of the causal relationship between the gut microbiota (UK Biobank cohort) and the risk of liver cirrhosis based on the IVW method</w:t>
      </w:r>
    </w:p>
    <w:tbl>
      <w:tblPr>
        <w:tblStyle w:val="TableGrid"/>
        <w:tblpPr w:leftFromText="180" w:rightFromText="180" w:vertAnchor="text" w:horzAnchor="page" w:tblpXSpec="center" w:tblpY="238"/>
        <w:tblOverlap w:val="never"/>
        <w:tblW w:w="11527" w:type="dxa"/>
        <w:jc w:val="center"/>
        <w:tblBorders>
          <w:top w:val="single" w:sz="12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1620"/>
        <w:gridCol w:w="720"/>
        <w:gridCol w:w="990"/>
        <w:gridCol w:w="900"/>
        <w:gridCol w:w="990"/>
        <w:gridCol w:w="900"/>
        <w:gridCol w:w="1080"/>
        <w:gridCol w:w="990"/>
        <w:gridCol w:w="900"/>
        <w:gridCol w:w="270"/>
        <w:gridCol w:w="1260"/>
        <w:gridCol w:w="907"/>
      </w:tblGrid>
      <w:tr w:rsidR="006A76E8" w:rsidRPr="006A6748" w:rsidTr="006D5968">
        <w:trPr>
          <w:trHeight w:val="633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Classification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No. of SNP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β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SE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OR (95% CI)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z w:val="22"/>
                <w:lang/>
              </w:rPr>
              <w:t>p</w:t>
            </w:r>
          </w:p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value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Horizontal pleiotropy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Heterogeneity</w:t>
            </w:r>
          </w:p>
        </w:tc>
      </w:tr>
      <w:tr w:rsidR="006A76E8" w:rsidRPr="006A6748" w:rsidTr="006D5968">
        <w:trPr>
          <w:trHeight w:val="1841"/>
          <w:jc w:val="center"/>
        </w:trPr>
        <w:tc>
          <w:tcPr>
            <w:tcW w:w="162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Egger</w:t>
            </w:r>
          </w:p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intercept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SE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z w:val="22"/>
                <w:lang/>
              </w:rPr>
              <w:t>p</w:t>
            </w:r>
          </w:p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value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Cochran’s</w:t>
            </w:r>
          </w:p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Q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z w:val="22"/>
                <w:lang/>
              </w:rPr>
              <w:t>p</w:t>
            </w:r>
          </w:p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value</w:t>
            </w:r>
          </w:p>
        </w:tc>
      </w:tr>
      <w:tr w:rsidR="006A76E8" w:rsidRPr="006A6748" w:rsidTr="006D5968">
        <w:trPr>
          <w:trHeight w:val="1256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/>
                <w:i/>
                <w:color w:val="000000" w:themeColor="text1"/>
                <w:sz w:val="22"/>
              </w:rPr>
              <w:t>Butyricicoccus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0.9996 (0.9989, 1.0003)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0.2595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0.9506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4.3070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0.7438</w:t>
            </w:r>
          </w:p>
        </w:tc>
      </w:tr>
      <w:tr w:rsidR="006A76E8" w:rsidRPr="006A6748" w:rsidTr="006D5968">
        <w:trPr>
          <w:trHeight w:val="1256"/>
          <w:jc w:val="center"/>
        </w:trPr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/>
                <w:i/>
                <w:color w:val="000000" w:themeColor="text1"/>
                <w:sz w:val="22"/>
              </w:rPr>
              <w:t>Marvinbryantia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−0.0009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0.0004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0.9991 (0.9984, 0.9999)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0.0236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−0.0002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0.0001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0.2734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3.8561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6E8" w:rsidRPr="006A6748" w:rsidRDefault="006A76E8" w:rsidP="006D5968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0.7962</w:t>
            </w:r>
          </w:p>
        </w:tc>
      </w:tr>
    </w:tbl>
    <w:p w:rsidR="006A76E8" w:rsidRPr="00576EB4" w:rsidRDefault="006A76E8" w:rsidP="006A76E8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576EB4">
        <w:rPr>
          <w:rFonts w:ascii="Times New Roman" w:hAnsi="Times New Roman" w:cs="Times New Roman"/>
          <w:color w:val="000000" w:themeColor="text1"/>
          <w:szCs w:val="21"/>
        </w:rPr>
        <w:t xml:space="preserve">IVW, inverse variance weighting; OR, odds ratio; </w:t>
      </w:r>
      <w:r w:rsidRPr="00576EB4">
        <w:rPr>
          <w:rFonts w:ascii="Times New Roman" w:hAnsi="Times New Roman"/>
          <w:color w:val="000000" w:themeColor="text1"/>
          <w:szCs w:val="21"/>
        </w:rPr>
        <w:t>SE, s</w:t>
      </w:r>
      <w:r w:rsidRPr="00576EB4">
        <w:rPr>
          <w:rFonts w:ascii="Times New Roman" w:hAnsi="Times New Roman" w:hint="eastAsia"/>
          <w:color w:val="000000" w:themeColor="text1"/>
          <w:szCs w:val="21"/>
        </w:rPr>
        <w:t>tandard error</w:t>
      </w:r>
      <w:r w:rsidRPr="00576EB4">
        <w:rPr>
          <w:rFonts w:ascii="Times New Roman" w:hAnsi="Times New Roman"/>
          <w:color w:val="000000" w:themeColor="text1"/>
          <w:szCs w:val="21"/>
        </w:rPr>
        <w:t xml:space="preserve">; </w:t>
      </w:r>
      <w:r w:rsidRPr="00576EB4">
        <w:rPr>
          <w:rFonts w:ascii="Times New Roman" w:hAnsi="Times New Roman" w:cs="Times New Roman"/>
          <w:color w:val="000000" w:themeColor="text1"/>
          <w:szCs w:val="21"/>
        </w:rPr>
        <w:t>SNP, single nucleotide polymorphism.</w:t>
      </w:r>
    </w:p>
    <w:p w:rsidR="006A76E8" w:rsidRPr="006A6748" w:rsidRDefault="006A76E8" w:rsidP="006A76E8">
      <w:pPr>
        <w:snapToGrid w:val="0"/>
        <w:spacing w:line="480" w:lineRule="auto"/>
        <w:rPr>
          <w:color w:val="000000" w:themeColor="text1"/>
          <w:sz w:val="24"/>
          <w:szCs w:val="24"/>
        </w:rPr>
      </w:pPr>
    </w:p>
    <w:p w:rsidR="00E51FD6" w:rsidRDefault="00E51FD6"/>
    <w:sectPr w:rsidR="00E51FD6" w:rsidSect="00F03B96">
      <w:footerReference w:type="default" r:id="rId4"/>
      <w:pgSz w:w="11906" w:h="16838"/>
      <w:pgMar w:top="1440" w:right="1440" w:bottom="1440" w:left="1440" w:header="850" w:footer="994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03" w:rsidRDefault="00E51FD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02.6pt;margin-top:246.6pt;width:2in;height:2in;z-index:2516602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" filled="f" stroked="f" strokeweight=".5pt">
          <v:textbox style="mso-fit-shape-to-text:t" inset="0,0,0,0">
            <w:txbxContent>
              <w:p w:rsidR="003F7B03" w:rsidRDefault="00E51FD6">
                <w:pPr>
                  <w:pStyle w:val="Foo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A76E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6A76E8"/>
    <w:rsid w:val="006A76E8"/>
    <w:rsid w:val="00E5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A76E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A76E8"/>
    <w:rPr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99"/>
    <w:qFormat/>
    <w:rsid w:val="006A76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2023-11-27T07:53:00Z</dcterms:created>
  <dcterms:modified xsi:type="dcterms:W3CDTF">2023-11-27T07:53:00Z</dcterms:modified>
</cp:coreProperties>
</file>