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8B" w:rsidRDefault="00EA2D8B" w:rsidP="00EA2D8B">
      <w:pPr>
        <w:spacing w:after="0" w:line="480" w:lineRule="auto"/>
        <w:rPr>
          <w:b/>
          <w:bCs/>
        </w:rPr>
      </w:pPr>
      <w:r>
        <w:rPr>
          <w:rFonts w:ascii="Times New Roman" w:eastAsia="宋体" w:hAnsi="Times New Roman" w:hint="eastAsia"/>
          <w:b/>
          <w:bCs/>
          <w:sz w:val="24"/>
        </w:rPr>
        <w:t>Supplementa</w:t>
      </w:r>
      <w:r>
        <w:rPr>
          <w:rFonts w:ascii="Times New Roman" w:eastAsia="宋体" w:hAnsi="Times New Roman"/>
          <w:b/>
          <w:bCs/>
          <w:sz w:val="24"/>
        </w:rPr>
        <w:t>ry</w:t>
      </w:r>
      <w:r>
        <w:rPr>
          <w:rFonts w:ascii="Times New Roman" w:eastAsia="宋体" w:hAnsi="Times New Roman" w:hint="eastAsia"/>
          <w:b/>
          <w:bCs/>
          <w:sz w:val="24"/>
        </w:rPr>
        <w:t xml:space="preserve"> </w:t>
      </w:r>
      <w:r>
        <w:rPr>
          <w:rFonts w:ascii="Times New Roman" w:eastAsia="宋体" w:hAnsi="Times New Roman"/>
          <w:b/>
          <w:bCs/>
          <w:sz w:val="24"/>
        </w:rPr>
        <w:t>F</w:t>
      </w:r>
      <w:r>
        <w:rPr>
          <w:rFonts w:ascii="Times New Roman" w:eastAsia="宋体" w:hAnsi="Times New Roman" w:hint="eastAsia"/>
          <w:b/>
          <w:bCs/>
          <w:sz w:val="24"/>
        </w:rPr>
        <w:t>ig</w:t>
      </w:r>
      <w:r>
        <w:rPr>
          <w:rFonts w:ascii="Times New Roman" w:eastAsia="宋体" w:hAnsi="Times New Roman"/>
          <w:b/>
          <w:bCs/>
          <w:sz w:val="24"/>
        </w:rPr>
        <w:t>.</w:t>
      </w:r>
      <w:r>
        <w:rPr>
          <w:rFonts w:ascii="Times New Roman" w:eastAsia="宋体" w:hAnsi="Times New Roman" w:hint="eastAsia"/>
          <w:b/>
          <w:bCs/>
          <w:sz w:val="24"/>
        </w:rPr>
        <w:t xml:space="preserve"> </w:t>
      </w:r>
      <w:r>
        <w:rPr>
          <w:rFonts w:ascii="Times New Roman" w:eastAsia="宋体" w:hAnsi="Times New Roman"/>
          <w:b/>
          <w:bCs/>
          <w:sz w:val="24"/>
        </w:rPr>
        <w:t>3</w:t>
      </w:r>
      <w:r>
        <w:rPr>
          <w:rFonts w:ascii="Times New Roman" w:eastAsia="宋体" w:hAnsi="Times New Roman" w:hint="eastAsia"/>
          <w:b/>
          <w:bCs/>
          <w:sz w:val="24"/>
        </w:rPr>
        <w:t>.</w:t>
      </w:r>
      <w:r>
        <w:rPr>
          <w:rFonts w:ascii="Times New Roman" w:eastAsia="仿宋" w:hAnsi="Times New Roman" w:hint="eastAsia"/>
          <w:b/>
          <w:bCs/>
          <w:sz w:val="24"/>
        </w:rPr>
        <w:t xml:space="preserve"> </w:t>
      </w:r>
      <w:r>
        <w:rPr>
          <w:rFonts w:ascii="Times New Roman" w:eastAsia="仿宋" w:hAnsi="Times New Roman"/>
          <w:b/>
          <w:bCs/>
          <w:sz w:val="24"/>
        </w:rPr>
        <w:t>Hepatitis B surface antibody (HBsAb) concentrations in children with neonatal hepatitis B vaccination and ongoing IT.</w:t>
      </w:r>
    </w:p>
    <w:p w:rsidR="00EA2D8B" w:rsidRDefault="00EA2D8B" w:rsidP="00EA2D8B">
      <w:pPr>
        <w:spacing w:after="0" w:line="480" w:lineRule="auto"/>
        <w:rPr>
          <w:sz w:val="24"/>
          <w:szCs w:val="32"/>
        </w:rPr>
      </w:pPr>
      <w:r>
        <w:rPr>
          <w:noProof/>
          <w:sz w:val="24"/>
          <w:szCs w:val="32"/>
        </w:rPr>
        <w:drawing>
          <wp:inline distT="0" distB="0" distL="0" distR="0">
            <wp:extent cx="5731510" cy="7393940"/>
            <wp:effectExtent l="0" t="0" r="889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9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3FA" w:rsidRDefault="006F63FA"/>
    <w:sectPr w:rsidR="006F63F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defaultTabStop w:val="720"/>
  <w:characterSpacingControl w:val="doNotCompress"/>
  <w:compat>
    <w:useFELayout/>
  </w:compat>
  <w:rsids>
    <w:rsidRoot w:val="00EA2D8B"/>
    <w:rsid w:val="006F63FA"/>
    <w:rsid w:val="00EA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2022-02-15T11:55:00Z</dcterms:created>
  <dcterms:modified xsi:type="dcterms:W3CDTF">2022-02-15T11:55:00Z</dcterms:modified>
</cp:coreProperties>
</file>