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1449" w:rsidRDefault="00721449" w:rsidP="00721449">
      <w:pPr>
        <w:spacing w:after="0" w:line="480" w:lineRule="auto"/>
        <w:rPr>
          <w:rFonts w:ascii="Times New Roman" w:hAnsi="Times New Roman"/>
          <w:sz w:val="24"/>
        </w:rPr>
      </w:pPr>
      <w:r>
        <w:rPr>
          <w:rFonts w:ascii="Times New Roman" w:hAnsi="Times New Roman" w:hint="eastAsia"/>
          <w:b/>
          <w:bCs/>
          <w:sz w:val="24"/>
        </w:rPr>
        <w:t>Supplement</w:t>
      </w:r>
      <w:r>
        <w:rPr>
          <w:rFonts w:ascii="Times New Roman" w:hAnsi="Times New Roman"/>
          <w:b/>
          <w:bCs/>
          <w:sz w:val="24"/>
        </w:rPr>
        <w:t>ary</w:t>
      </w:r>
      <w:r>
        <w:rPr>
          <w:rFonts w:ascii="Times New Roman" w:hAnsi="Times New Roman" w:hint="eastAsia"/>
          <w:b/>
          <w:bCs/>
          <w:sz w:val="24"/>
        </w:rPr>
        <w:t xml:space="preserve"> </w:t>
      </w:r>
      <w:r>
        <w:rPr>
          <w:rFonts w:ascii="Times New Roman" w:hAnsi="Times New Roman"/>
          <w:b/>
          <w:bCs/>
          <w:sz w:val="24"/>
        </w:rPr>
        <w:t>F</w:t>
      </w:r>
      <w:r>
        <w:rPr>
          <w:rFonts w:ascii="Times New Roman" w:hAnsi="Times New Roman" w:hint="eastAsia"/>
          <w:b/>
          <w:bCs/>
          <w:sz w:val="24"/>
        </w:rPr>
        <w:t>ig</w:t>
      </w:r>
      <w:r>
        <w:rPr>
          <w:rFonts w:ascii="Times New Roman" w:hAnsi="Times New Roman"/>
          <w:b/>
          <w:bCs/>
          <w:sz w:val="24"/>
        </w:rPr>
        <w:t>.</w:t>
      </w:r>
      <w:r>
        <w:rPr>
          <w:rFonts w:ascii="Times New Roman" w:hAnsi="Times New Roman" w:hint="eastAsia"/>
          <w:b/>
          <w:bCs/>
          <w:sz w:val="24"/>
        </w:rPr>
        <w:t xml:space="preserve"> </w:t>
      </w:r>
      <w:r>
        <w:rPr>
          <w:rFonts w:ascii="Times New Roman" w:hAnsi="Times New Roman"/>
          <w:b/>
          <w:bCs/>
          <w:sz w:val="24"/>
        </w:rPr>
        <w:t>1</w:t>
      </w:r>
      <w:r>
        <w:rPr>
          <w:rFonts w:ascii="Times New Roman" w:hAnsi="Times New Roman" w:hint="eastAsia"/>
          <w:b/>
          <w:bCs/>
          <w:sz w:val="24"/>
        </w:rPr>
        <w:t>.</w:t>
      </w:r>
      <w:r>
        <w:rPr>
          <w:rFonts w:ascii="Times New Roman" w:hAnsi="Times New Roman"/>
          <w:b/>
          <w:bCs/>
          <w:sz w:val="24"/>
        </w:rPr>
        <w:t xml:space="preserve"> HBV seromarkers and liver function</w:t>
      </w:r>
      <w:r>
        <w:rPr>
          <w:rFonts w:ascii="Times New Roman" w:hAnsi="Times New Roman" w:hint="eastAsia"/>
          <w:sz w:val="24"/>
        </w:rPr>
        <w:t xml:space="preserve"> </w:t>
      </w:r>
      <w:r>
        <w:rPr>
          <w:rFonts w:ascii="Times New Roman" w:hAnsi="Times New Roman"/>
          <w:b/>
          <w:bCs/>
          <w:sz w:val="24"/>
        </w:rPr>
        <w:t>in four children with HBV breakthrough infection during IT.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 w:hint="eastAsia"/>
          <w:sz w:val="24"/>
        </w:rPr>
        <w:t>(</w:t>
      </w:r>
      <w:r>
        <w:rPr>
          <w:rFonts w:ascii="Times New Roman" w:hAnsi="Times New Roman"/>
          <w:sz w:val="24"/>
        </w:rPr>
        <w:t>A)</w:t>
      </w:r>
      <w:r>
        <w:rPr>
          <w:rFonts w:ascii="Times New Roman" w:hAnsi="Times New Roman" w:hint="eastAsia"/>
          <w:sz w:val="24"/>
        </w:rPr>
        <w:t xml:space="preserve"> </w:t>
      </w:r>
      <w:r>
        <w:rPr>
          <w:rFonts w:ascii="Times New Roman" w:hAnsi="Times New Roman"/>
          <w:sz w:val="24"/>
        </w:rPr>
        <w:t>P</w:t>
      </w:r>
      <w:r>
        <w:rPr>
          <w:rFonts w:ascii="Times New Roman" w:hAnsi="Times New Roman" w:hint="eastAsia"/>
          <w:sz w:val="24"/>
        </w:rPr>
        <w:t>atient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 w:hint="eastAsia"/>
          <w:sz w:val="24"/>
        </w:rPr>
        <w:t xml:space="preserve">1; </w:t>
      </w:r>
      <w:r>
        <w:rPr>
          <w:rFonts w:ascii="Times New Roman" w:hAnsi="Times New Roman"/>
          <w:sz w:val="24"/>
        </w:rPr>
        <w:t>(B)</w:t>
      </w:r>
      <w:r>
        <w:rPr>
          <w:rFonts w:ascii="Times New Roman" w:hAnsi="Times New Roman" w:hint="eastAsia"/>
          <w:b/>
          <w:bCs/>
          <w:sz w:val="24"/>
        </w:rPr>
        <w:t xml:space="preserve"> </w:t>
      </w:r>
      <w:r>
        <w:rPr>
          <w:rFonts w:ascii="Times New Roman" w:hAnsi="Times New Roman"/>
          <w:sz w:val="24"/>
        </w:rPr>
        <w:t>P</w:t>
      </w:r>
      <w:r>
        <w:rPr>
          <w:rFonts w:ascii="Times New Roman" w:hAnsi="Times New Roman" w:hint="eastAsia"/>
          <w:sz w:val="24"/>
        </w:rPr>
        <w:t xml:space="preserve">atient 2; </w:t>
      </w:r>
      <w:r>
        <w:rPr>
          <w:rFonts w:ascii="Times New Roman" w:hAnsi="Times New Roman"/>
          <w:sz w:val="24"/>
        </w:rPr>
        <w:t>(C)</w:t>
      </w:r>
      <w:r>
        <w:rPr>
          <w:rFonts w:ascii="Times New Roman" w:hAnsi="Times New Roman" w:hint="eastAsia"/>
          <w:sz w:val="24"/>
        </w:rPr>
        <w:t xml:space="preserve"> </w:t>
      </w:r>
      <w:r>
        <w:rPr>
          <w:rFonts w:ascii="Times New Roman" w:hAnsi="Times New Roman"/>
          <w:sz w:val="24"/>
        </w:rPr>
        <w:t>P</w:t>
      </w:r>
      <w:r>
        <w:rPr>
          <w:rFonts w:ascii="Times New Roman" w:hAnsi="Times New Roman" w:hint="eastAsia"/>
          <w:sz w:val="24"/>
        </w:rPr>
        <w:t xml:space="preserve">atient 3; </w:t>
      </w:r>
      <w:r>
        <w:rPr>
          <w:rFonts w:ascii="Times New Roman" w:hAnsi="Times New Roman"/>
          <w:sz w:val="24"/>
        </w:rPr>
        <w:t>(D</w:t>
      </w:r>
      <w:r>
        <w:rPr>
          <w:rFonts w:ascii="Times New Roman" w:hAnsi="Times New Roman"/>
          <w:b/>
          <w:bCs/>
          <w:sz w:val="24"/>
        </w:rPr>
        <w:t>)</w:t>
      </w:r>
      <w:r>
        <w:rPr>
          <w:rFonts w:ascii="Times New Roman" w:hAnsi="Times New Roman" w:hint="eastAsia"/>
          <w:b/>
          <w:bCs/>
          <w:sz w:val="24"/>
        </w:rPr>
        <w:t xml:space="preserve"> </w:t>
      </w:r>
      <w:r>
        <w:rPr>
          <w:rFonts w:ascii="Times New Roman" w:hAnsi="Times New Roman"/>
          <w:sz w:val="24"/>
        </w:rPr>
        <w:t>P</w:t>
      </w:r>
      <w:r>
        <w:rPr>
          <w:rFonts w:ascii="Times New Roman" w:hAnsi="Times New Roman" w:hint="eastAsia"/>
          <w:sz w:val="24"/>
        </w:rPr>
        <w:t xml:space="preserve">atient 4. </w:t>
      </w:r>
      <w:r>
        <w:rPr>
          <w:rFonts w:ascii="Times New Roman" w:hAnsi="Times New Roman"/>
          <w:sz w:val="24"/>
        </w:rPr>
        <w:t xml:space="preserve">The horizontal dashed line indicates the normal reference value; the vertical line indicates the time </w:t>
      </w:r>
      <w:r>
        <w:rPr>
          <w:rFonts w:ascii="Times New Roman" w:hAnsi="Times New Roman" w:hint="eastAsia"/>
          <w:sz w:val="24"/>
        </w:rPr>
        <w:t>to detect HBV infection</w:t>
      </w:r>
      <w:r>
        <w:rPr>
          <w:rFonts w:ascii="Times New Roman" w:hAnsi="Times New Roman"/>
          <w:sz w:val="24"/>
        </w:rPr>
        <w:t xml:space="preserve">. </w:t>
      </w:r>
      <w:r>
        <w:rPr>
          <w:rFonts w:ascii="Times New Roman" w:hAnsi="Times New Roman" w:hint="eastAsia"/>
          <w:sz w:val="24"/>
        </w:rPr>
        <w:t xml:space="preserve">HBeAg, </w:t>
      </w:r>
      <w:r>
        <w:rPr>
          <w:rFonts w:ascii="Times New Roman" w:hAnsi="Times New Roman"/>
          <w:sz w:val="24"/>
        </w:rPr>
        <w:t>hepatitis B e antigen; HBeAb, hepatitis B e antibody; HBcAb, hepatitis B core antibody; ALT,</w:t>
      </w:r>
      <w:r>
        <w:rPr>
          <w:rFonts w:ascii="Times New Roman" w:hAnsi="Times New Roman" w:hint="eastAsia"/>
          <w:sz w:val="24"/>
        </w:rPr>
        <w:t xml:space="preserve"> alanine aminotransaminase</w:t>
      </w:r>
      <w:r>
        <w:rPr>
          <w:rFonts w:ascii="Times New Roman" w:hAnsi="Times New Roman"/>
          <w:sz w:val="24"/>
        </w:rPr>
        <w:t>;</w:t>
      </w:r>
      <w:r>
        <w:rPr>
          <w:rFonts w:ascii="Times New Roman" w:hAnsi="Times New Roman" w:hint="eastAsia"/>
          <w:sz w:val="24"/>
        </w:rPr>
        <w:t xml:space="preserve"> </w:t>
      </w:r>
      <w:r>
        <w:rPr>
          <w:rFonts w:ascii="Times New Roman" w:hAnsi="Times New Roman"/>
          <w:sz w:val="24"/>
        </w:rPr>
        <w:t>AST</w:t>
      </w:r>
      <w:r>
        <w:rPr>
          <w:rFonts w:ascii="Times New Roman" w:hAnsi="Times New Roman" w:hint="eastAsia"/>
          <w:sz w:val="24"/>
        </w:rPr>
        <w:t>, a</w:t>
      </w:r>
      <w:r>
        <w:rPr>
          <w:rFonts w:ascii="Times New Roman" w:hAnsi="Times New Roman"/>
          <w:sz w:val="24"/>
        </w:rPr>
        <w:t>spartate aminotransferase;</w:t>
      </w:r>
      <w:r>
        <w:rPr>
          <w:rFonts w:ascii="Times New Roman" w:hAnsi="Times New Roman" w:hint="eastAsia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TBIL, </w:t>
      </w:r>
      <w:r>
        <w:rPr>
          <w:rFonts w:ascii="Times New Roman" w:hAnsi="Times New Roman" w:hint="eastAsia"/>
          <w:sz w:val="24"/>
        </w:rPr>
        <w:t>total bilirubin</w:t>
      </w:r>
      <w:r>
        <w:rPr>
          <w:rFonts w:ascii="Times New Roman" w:hAnsi="Times New Roman"/>
          <w:sz w:val="24"/>
        </w:rPr>
        <w:t xml:space="preserve">; ALP, </w:t>
      </w:r>
      <w:r>
        <w:rPr>
          <w:rFonts w:ascii="Times New Roman" w:hAnsi="Times New Roman" w:hint="eastAsia"/>
          <w:sz w:val="24"/>
        </w:rPr>
        <w:t>a</w:t>
      </w:r>
      <w:r>
        <w:rPr>
          <w:rFonts w:ascii="Times New Roman" w:hAnsi="Times New Roman"/>
          <w:sz w:val="24"/>
        </w:rPr>
        <w:t>lkaline phosphatase.</w:t>
      </w:r>
    </w:p>
    <w:tbl>
      <w:tblPr>
        <w:tblW w:w="0" w:type="auto"/>
        <w:tblLook w:val="04A0"/>
      </w:tblPr>
      <w:tblGrid>
        <w:gridCol w:w="4580"/>
        <w:gridCol w:w="4276"/>
      </w:tblGrid>
      <w:tr w:rsidR="00721449" w:rsidTr="00CB40CA">
        <w:tc>
          <w:tcPr>
            <w:tcW w:w="4145" w:type="dxa"/>
            <w:shd w:val="clear" w:color="auto" w:fill="auto"/>
          </w:tcPr>
          <w:p w:rsidR="00721449" w:rsidRDefault="00721449" w:rsidP="00CB40CA">
            <w:pPr>
              <w:spacing w:after="0" w:line="48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noProof/>
                <w:sz w:val="24"/>
              </w:rPr>
              <w:drawing>
                <wp:inline distT="0" distB="0" distL="0" distR="0">
                  <wp:extent cx="2811145" cy="2205990"/>
                  <wp:effectExtent l="0" t="0" r="8890" b="4445"/>
                  <wp:docPr id="1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1642" cy="22220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5" w:type="dxa"/>
            <w:shd w:val="clear" w:color="auto" w:fill="auto"/>
          </w:tcPr>
          <w:p w:rsidR="00721449" w:rsidRDefault="00721449" w:rsidP="00CB40CA">
            <w:pPr>
              <w:spacing w:after="0" w:line="48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noProof/>
                <w:sz w:val="24"/>
              </w:rPr>
              <w:drawing>
                <wp:inline distT="0" distB="0" distL="0" distR="0">
                  <wp:extent cx="2623185" cy="2206625"/>
                  <wp:effectExtent l="0" t="0" r="0" b="3175"/>
                  <wp:docPr id="1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3281" cy="220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1449" w:rsidTr="00CB40CA">
        <w:tc>
          <w:tcPr>
            <w:tcW w:w="4145" w:type="dxa"/>
            <w:shd w:val="clear" w:color="auto" w:fill="auto"/>
          </w:tcPr>
          <w:p w:rsidR="00721449" w:rsidRDefault="00721449" w:rsidP="00CB40CA">
            <w:pPr>
              <w:spacing w:after="0" w:line="48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noProof/>
                <w:sz w:val="24"/>
              </w:rPr>
              <w:drawing>
                <wp:inline distT="0" distB="0" distL="0" distR="0">
                  <wp:extent cx="2802890" cy="2206625"/>
                  <wp:effectExtent l="0" t="0" r="0" b="3175"/>
                  <wp:docPr id="1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2671" cy="220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5" w:type="dxa"/>
            <w:shd w:val="clear" w:color="auto" w:fill="auto"/>
          </w:tcPr>
          <w:p w:rsidR="00721449" w:rsidRDefault="00721449" w:rsidP="00CB40CA">
            <w:pPr>
              <w:spacing w:after="0" w:line="48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noProof/>
                <w:sz w:val="24"/>
              </w:rPr>
              <w:drawing>
                <wp:inline distT="0" distB="0" distL="0" distR="0">
                  <wp:extent cx="2621915" cy="2206625"/>
                  <wp:effectExtent l="0" t="0" r="0" b="3810"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7365" cy="2211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1300C" w:rsidRDefault="0071300C"/>
    <w:sectPr w:rsidR="0071300C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defaultTabStop w:val="720"/>
  <w:characterSpacingControl w:val="doNotCompress"/>
  <w:compat>
    <w:useFELayout/>
  </w:compat>
  <w:rsids>
    <w:rsidRoot w:val="00721449"/>
    <w:rsid w:val="0071300C"/>
    <w:rsid w:val="007214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214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144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78</Words>
  <Characters>447</Characters>
  <Application>Microsoft Office Word</Application>
  <DocSecurity>0</DocSecurity>
  <Lines>3</Lines>
  <Paragraphs>1</Paragraphs>
  <ScaleCrop>false</ScaleCrop>
  <Company/>
  <LinksUpToDate>false</LinksUpToDate>
  <CharactersWithSpaces>524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Robin Wei</dc:creator>
  <cp:keywords/>
  <dc:description/>
  <cp:lastModifiedBy>Robin Wei</cp:lastModifiedBy>
  <cp:revision>2</cp:revision>
  <dcterms:created xsi:type="dcterms:W3CDTF">2022-02-15T11:54:00Z</dcterms:created>
  <dcterms:modified xsi:type="dcterms:W3CDTF">2022-02-15T11:54:00Z</dcterms:modified>
</cp:coreProperties>
</file>