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BC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Supplementary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Materials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b/>
          <w:bCs/>
          <w:sz w:val="24"/>
          <w:szCs w:val="24"/>
        </w:rPr>
        <w:t>Methods</w:t>
      </w:r>
    </w:p>
    <w:p w:rsidR="00E10DB8" w:rsidRPr="00840554" w:rsidRDefault="00E10DB8" w:rsidP="00E10DB8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05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Animal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05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study</w:t>
      </w:r>
    </w:p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CB">
        <w:rPr>
          <w:rFonts w:ascii="Times New Roman" w:hAnsi="Times New Roman" w:cs="Times New Roman"/>
          <w:sz w:val="24"/>
          <w:szCs w:val="24"/>
        </w:rPr>
        <w:t>NAFLD-prone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APOE*3-Leiden.CETP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obtained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previously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described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06C1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8–14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weeks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group-housed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light-tight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cabinets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21°C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12/12-h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light-dark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conditions.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cabinets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illuminated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fluorescent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(200–250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lux).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bouts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experiments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illumination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NAFLD-inducing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HFHC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diet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containing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60%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cholesterol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(Ssniff,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Soest,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Germany)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i/>
          <w:iCs/>
          <w:sz w:val="24"/>
          <w:szCs w:val="24"/>
        </w:rPr>
        <w:t>ad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i/>
          <w:iCs/>
          <w:sz w:val="24"/>
          <w:szCs w:val="24"/>
        </w:rPr>
        <w:t>libitum</w:t>
      </w:r>
      <w:r w:rsidRPr="00FF3B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dietary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habituation,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animals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block-randomized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groups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weight,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mass,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(EchoMRI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100-Analyzer;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EchoMRI,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Houston,</w:t>
      </w:r>
      <w:r>
        <w:rPr>
          <w:rFonts w:ascii="Times New Roman" w:hAnsi="Times New Roman" w:cs="Times New Roman"/>
          <w:sz w:val="24"/>
          <w:szCs w:val="24"/>
        </w:rPr>
        <w:t xml:space="preserve"> TX, USA</w:t>
      </w:r>
      <w:r w:rsidRPr="00FF3BC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plasma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triglycerides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(TG),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sizes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previous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model.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phase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running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runners,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E-RUN,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554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lights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i/>
          <w:iCs/>
          <w:sz w:val="24"/>
          <w:szCs w:val="24"/>
        </w:rPr>
        <w:t>Zeitgeber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(ZT)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13–14;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phase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running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runners,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L-RUN,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554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lights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ZT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22-23.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Sedentary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(SED,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554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train.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sedentary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split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554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housed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cabinet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E-RUN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half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554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cabinet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L-RUN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shown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E-SED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L-SED,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respectively.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assessed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weekly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composition,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unfasted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again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weeks.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animals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killed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ZT17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17–26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exercise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CO</w:t>
      </w:r>
      <w:r w:rsidRPr="00FF3B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inhalation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perfused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ice-cold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tissues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collected.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3271471"/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sacrifice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timepoint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comparisons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groups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reduce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confounding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effect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acute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exercise.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animal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experiments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performed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accordance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Institute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Laboratory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Animal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Laboratory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Animals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lastRenderedPageBreak/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Animal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experiments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Ethics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Animal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Experimentation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Leiden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Medical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Center.</w:t>
      </w:r>
    </w:p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10DB8" w:rsidRPr="00840554" w:rsidRDefault="00E10DB8" w:rsidP="00E10DB8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05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Exercise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05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training</w:t>
      </w:r>
    </w:p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CB">
        <w:rPr>
          <w:rFonts w:ascii="Times New Roman" w:hAnsi="Times New Roman" w:cs="Times New Roman"/>
          <w:sz w:val="24"/>
          <w:szCs w:val="24"/>
        </w:rPr>
        <w:t>Mice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trained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treadmill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lanes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(MazeEngineers,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Skokie,</w:t>
      </w:r>
      <w:r>
        <w:rPr>
          <w:rFonts w:ascii="Times New Roman" w:hAnsi="Times New Roman" w:cs="Times New Roman"/>
          <w:sz w:val="24"/>
          <w:szCs w:val="24"/>
        </w:rPr>
        <w:t xml:space="preserve"> IL, USA</w:t>
      </w:r>
      <w:r w:rsidRPr="00FF3BC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3–4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together.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electric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shocks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instead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gently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nudged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stopped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running.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treadmill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acclimatization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increasing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speed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running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trained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FF3BCB">
        <w:rPr>
          <w:rFonts w:ascii="Times New Roman" w:hAnsi="Times New Roman" w:cs="Times New Roman"/>
          <w:sz w:val="24"/>
          <w:szCs w:val="24"/>
        </w:rPr>
        <w:t>warm-up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6–15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m/m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FF3B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m/m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FF3BC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m/m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FF3BC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899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mouse)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weeks.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account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experimental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stress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experienced,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groups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empty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bedding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running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bout.</w:t>
      </w:r>
    </w:p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0DB8" w:rsidRPr="006E3E1F" w:rsidRDefault="00E10DB8" w:rsidP="00E10DB8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Plasma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liver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lipid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assays</w:t>
      </w:r>
    </w:p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CB">
        <w:rPr>
          <w:rFonts w:ascii="Times New Roman" w:hAnsi="Times New Roman" w:cs="Times New Roman"/>
          <w:sz w:val="24"/>
          <w:szCs w:val="24"/>
        </w:rPr>
        <w:t>Plasma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measured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dietary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habituation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directly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start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weeks.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lipids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extracted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snap-frozen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tissue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Bligh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protocol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06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concentrations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measured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Triglyceride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Cholesterol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assay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kits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Roche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Diagnostics,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Almere,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Netherlands)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described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previously,</w:t>
      </w:r>
      <w:r w:rsidRPr="00C706C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measured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phospholipid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reagent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kit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(Instruchemie,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Delfzijl,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Netherlands).</w:t>
      </w:r>
    </w:p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DB8" w:rsidRPr="006E3E1F" w:rsidRDefault="00E10DB8" w:rsidP="00E10DB8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Plasma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assay</w:t>
      </w:r>
    </w:p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F3BCB">
        <w:rPr>
          <w:rFonts w:ascii="Times New Roman" w:hAnsi="Times New Roman" w:cs="Times New Roman"/>
          <w:sz w:val="24"/>
          <w:szCs w:val="24"/>
        </w:rPr>
        <w:t>Plasma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3316082"/>
      <w:r w:rsidRPr="00FF3BCB">
        <w:rPr>
          <w:rFonts w:ascii="Times New Roman" w:hAnsi="Times New Roman" w:cs="Times New Roman"/>
          <w:sz w:val="24"/>
          <w:szCs w:val="24"/>
        </w:rPr>
        <w:t>alanine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aminotransferase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(ALT)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levels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measured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collected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sacrifice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ELISA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Kit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ab282882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(Abcam,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Cambridge,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UK).</w:t>
      </w:r>
    </w:p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10DB8" w:rsidRPr="006E3E1F" w:rsidRDefault="00E10DB8" w:rsidP="00E10DB8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Liver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blood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immune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isolation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flow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cytometry</w:t>
      </w:r>
    </w:p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CB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tissue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collected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ice-cold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RPMI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1640+Glutamax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(Thermo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Fisher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Scientific,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Waltham,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minced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digested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FF3BC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37°C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collagenase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i/>
          <w:iCs/>
          <w:sz w:val="24"/>
          <w:szCs w:val="24"/>
        </w:rPr>
        <w:t>Clostridium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i/>
          <w:iCs/>
          <w:sz w:val="24"/>
          <w:szCs w:val="24"/>
        </w:rPr>
        <w:t>histolyticum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mg/mL;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Sigma-Aldrich,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Louis,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U/mL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DNase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(Sigma-Aldrich)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CaCl</w:t>
      </w:r>
      <w:r w:rsidRPr="00FF3B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previously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described.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digested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tissues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µm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strainers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washed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phosphate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buffered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saline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0.5%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bovine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serum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albumen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ethylenediaminetetraacetic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acid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(PBS/BSA/EDTA).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spun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down,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washed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again,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hepatocytes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pelleted.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leukocytes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supernatant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pelleted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treated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erythrocyte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buffer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(0.15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NH</w:t>
      </w:r>
      <w:r w:rsidRPr="00FF3BC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F3BCB">
        <w:rPr>
          <w:rFonts w:ascii="Times New Roman" w:hAnsi="Times New Roman" w:cs="Times New Roman"/>
          <w:sz w:val="24"/>
          <w:szCs w:val="24"/>
        </w:rPr>
        <w:t>Cl;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KHCO</w:t>
      </w:r>
      <w:r w:rsidRPr="00FF3BC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F3BC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0.1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Na</w:t>
      </w:r>
      <w:r w:rsidRPr="00FF3B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3BCB">
        <w:rPr>
          <w:rFonts w:ascii="Times New Roman" w:hAnsi="Times New Roman" w:cs="Times New Roman"/>
          <w:sz w:val="24"/>
          <w:szCs w:val="24"/>
        </w:rPr>
        <w:t>EDTA).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washing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PBS/BSA/EDTA,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leukocytes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isolated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magnetic-activated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sorting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columns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CD45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MicroBeads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(Miltenyi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Biotec,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Bergisch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Gladbach,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Germany)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according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manufacturer’s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protocol.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Blood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leukocytes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isolated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parallel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cardiac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puncture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blood.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Isolated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CD45+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counted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Zombie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NIR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(Biolegend,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Diego,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followed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fixation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1.9%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paraformaldehyde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(Sigma-Aldrich)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fixed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leukocytes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further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lastRenderedPageBreak/>
        <w:t>processed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cytometry.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isolated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CD45+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incubated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cocktail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antibodies: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278"/>
        <w:gridCol w:w="781"/>
        <w:gridCol w:w="495"/>
        <w:gridCol w:w="768"/>
        <w:gridCol w:w="933"/>
        <w:gridCol w:w="711"/>
        <w:gridCol w:w="1132"/>
        <w:gridCol w:w="1560"/>
        <w:gridCol w:w="1480"/>
        <w:gridCol w:w="222"/>
      </w:tblGrid>
      <w:tr w:rsidR="00E10DB8" w:rsidRPr="00FF3BCB" w:rsidTr="000909B5">
        <w:trPr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93932299"/>
            <w:r w:rsidRPr="00FF3BCB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/>
                <w:sz w:val="24"/>
                <w:szCs w:val="24"/>
              </w:rPr>
              <w:t>Clone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/>
                <w:sz w:val="24"/>
                <w:szCs w:val="24"/>
              </w:rPr>
              <w:t>Conjugate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/>
                <w:sz w:val="24"/>
                <w:szCs w:val="24"/>
              </w:rPr>
              <w:t>Catalog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BC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/>
                <w:sz w:val="24"/>
                <w:szCs w:val="24"/>
              </w:rPr>
              <w:t>RRID</w:t>
            </w:r>
          </w:p>
        </w:tc>
      </w:tr>
      <w:tr w:rsidR="00E10DB8" w:rsidRPr="00FF3BCB" w:rsidTr="000909B5">
        <w:trPr>
          <w:trHeight w:val="22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CD3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17A2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APC/Fire-810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Biolegend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100267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AB_2876392</w:t>
            </w:r>
          </w:p>
        </w:tc>
      </w:tr>
      <w:tr w:rsidR="00E10DB8" w:rsidRPr="00FF3BCB" w:rsidTr="000909B5">
        <w:trPr>
          <w:trHeight w:val="22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CD11b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M1/70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PE-Cy7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eBioscience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25-0112-82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color w:val="222222"/>
                <w:sz w:val="24"/>
                <w:szCs w:val="24"/>
                <w:lang w:eastAsia="nl-NL"/>
              </w:rPr>
              <w:t>AB_469588</w:t>
            </w:r>
          </w:p>
        </w:tc>
      </w:tr>
      <w:tr w:rsidR="00E10DB8" w:rsidRPr="00FF3BCB" w:rsidTr="000909B5">
        <w:trPr>
          <w:trHeight w:val="22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CD19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1D3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BV480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BD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Biosciences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566107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AB_2739509</w:t>
            </w:r>
          </w:p>
        </w:tc>
      </w:tr>
      <w:tr w:rsidR="00E10DB8" w:rsidRPr="00FF3BCB" w:rsidTr="000909B5">
        <w:trPr>
          <w:trHeight w:val="22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CD45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30-F11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BV785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Biolegend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103149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AB_2564590</w:t>
            </w:r>
          </w:p>
        </w:tc>
      </w:tr>
      <w:tr w:rsidR="00E10DB8" w:rsidRPr="00FF3BCB" w:rsidTr="000909B5">
        <w:trPr>
          <w:trHeight w:val="22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Ly6C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HK1.4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APC-Cy7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Biolegend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128025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AB_10643867</w:t>
            </w:r>
          </w:p>
        </w:tc>
      </w:tr>
      <w:tr w:rsidR="00E10DB8" w:rsidRPr="00FF3BCB" w:rsidTr="000909B5">
        <w:trPr>
          <w:trHeight w:val="22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Ly6G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1A8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BV650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Biolegend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127641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AB_2565881</w:t>
            </w:r>
          </w:p>
        </w:tc>
      </w:tr>
      <w:tr w:rsidR="00E10DB8" w:rsidRPr="00FF3BCB" w:rsidTr="000909B5">
        <w:trPr>
          <w:trHeight w:val="22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NK1.1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PK136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PerCP-Cy5.5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Biolegend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108727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AB_2132706</w:t>
            </w:r>
          </w:p>
        </w:tc>
      </w:tr>
      <w:tr w:rsidR="00E10DB8" w:rsidRPr="00FF3BCB" w:rsidTr="000909B5">
        <w:trPr>
          <w:trHeight w:val="224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Siglec-F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E50-2440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PE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BD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Biosciences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552126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AB_394341</w:t>
            </w:r>
          </w:p>
        </w:tc>
      </w:tr>
      <w:tr w:rsidR="00E10DB8" w:rsidRPr="00FF3BCB" w:rsidTr="000909B5">
        <w:trPr>
          <w:gridAfter w:val="1"/>
          <w:wAfter w:w="222" w:type="dxa"/>
          <w:trHeight w:val="224"/>
          <w:jc w:val="center"/>
        </w:trPr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BCB">
              <w:rPr>
                <w:rFonts w:ascii="Times New Roman" w:hAnsi="Times New Roman" w:cs="Times New Roman"/>
                <w:b/>
                <w:sz w:val="24"/>
                <w:szCs w:val="24"/>
              </w:rPr>
              <w:t>reagents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DB8" w:rsidRPr="00FF3BCB" w:rsidTr="000909B5">
        <w:trPr>
          <w:trHeight w:val="224"/>
          <w:jc w:val="center"/>
        </w:trPr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True-Stain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monocyte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blocker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Biolegend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426103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n.a.</w:t>
            </w:r>
          </w:p>
        </w:tc>
      </w:tr>
      <w:tr w:rsidR="00E10DB8" w:rsidRPr="00FF3BCB" w:rsidTr="000909B5">
        <w:trPr>
          <w:trHeight w:val="224"/>
          <w:jc w:val="center"/>
        </w:trPr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Brilliant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stain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buffer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plus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BD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Biosciences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566385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BCB">
              <w:rPr>
                <w:rFonts w:ascii="Times New Roman" w:hAnsi="Times New Roman" w:cs="Times New Roman"/>
                <w:bCs/>
                <w:sz w:val="24"/>
                <w:szCs w:val="24"/>
              </w:rPr>
              <w:t>n.a.</w:t>
            </w:r>
          </w:p>
        </w:tc>
      </w:tr>
      <w:tr w:rsidR="00E10DB8" w:rsidRPr="00FF3BCB" w:rsidTr="000909B5">
        <w:trPr>
          <w:trHeight w:val="224"/>
          <w:jc w:val="center"/>
        </w:trPr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DB8" w:rsidRPr="00FF3BCB" w:rsidRDefault="00E10DB8" w:rsidP="000909B5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2"/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measured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spectral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cytometry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3-laser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Cytek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Aurora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spectral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cytometer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(Cytek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Biosciences,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Fremont,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Spectral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unmixing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cytometry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performed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SpectroFlo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v3.0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(Cytek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Biosciences).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Gating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cytometry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performed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FlowJoTM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v10.8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(BD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Biosciences,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Franklin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Lakes,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NJ,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shown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>ry Figure 2</w:t>
      </w:r>
      <w:r w:rsidRPr="00FF3BCB">
        <w:rPr>
          <w:rFonts w:ascii="Times New Roman" w:hAnsi="Times New Roman" w:cs="Times New Roman"/>
          <w:sz w:val="24"/>
          <w:szCs w:val="24"/>
        </w:rPr>
        <w:t>.</w:t>
      </w:r>
    </w:p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DB8" w:rsidRPr="006E3E1F" w:rsidRDefault="00E10DB8" w:rsidP="00E10DB8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Histological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analys</w:t>
      </w:r>
      <w:r w:rsidRPr="00FF3B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</w:p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CB">
        <w:rPr>
          <w:rFonts w:ascii="Times New Roman" w:hAnsi="Times New Roman" w:cs="Times New Roman"/>
          <w:sz w:val="24"/>
          <w:szCs w:val="24"/>
        </w:rPr>
        <w:t>Fresh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tissue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fixed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4%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paraformaldehyde,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embedded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paraffin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µm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sections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prepared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hematoxylin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eosin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staining.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NAFLD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determined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established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NAFLD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scoring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rodent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models,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microsteatosis,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macrosteatosis,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hypertrophy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evaluated,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scores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tissue)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66%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tissue),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maximum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NAFLD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9.</w:t>
      </w:r>
      <w:r w:rsidRPr="00C706C1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0DB8" w:rsidRPr="006E3E1F" w:rsidRDefault="00E10DB8" w:rsidP="00E10DB8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expression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analysis</w:t>
      </w:r>
    </w:p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CB">
        <w:rPr>
          <w:rFonts w:ascii="Times New Roman" w:hAnsi="Times New Roman" w:cs="Times New Roman"/>
          <w:sz w:val="24"/>
          <w:szCs w:val="24"/>
        </w:rPr>
        <w:t>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isolated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isolated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immune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freshly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frozen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tissue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TRIzol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(Thermo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Fisher</w:t>
      </w:r>
      <w:r>
        <w:rPr>
          <w:rFonts w:ascii="Times New Roman" w:hAnsi="Times New Roman" w:cs="Times New Roman"/>
          <w:sz w:val="24"/>
          <w:szCs w:val="24"/>
        </w:rPr>
        <w:t xml:space="preserve"> Scientific</w:t>
      </w:r>
      <w:r w:rsidRPr="00FF3BC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reverse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transcription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M-MLV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Reverse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Transcriptase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(Promega,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Madison,</w:t>
      </w:r>
      <w:r>
        <w:rPr>
          <w:rFonts w:ascii="Times New Roman" w:hAnsi="Times New Roman" w:cs="Times New Roman"/>
          <w:sz w:val="24"/>
          <w:szCs w:val="24"/>
        </w:rPr>
        <w:t xml:space="preserve"> WI, USA</w:t>
      </w:r>
      <w:r w:rsidRPr="00FF3BC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qRT-PCR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performed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SYBR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Green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(Promega).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primers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were:</w:t>
      </w:r>
    </w:p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28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940"/>
        <w:gridCol w:w="3694"/>
        <w:gridCol w:w="4071"/>
      </w:tblGrid>
      <w:tr w:rsidR="00E10DB8" w:rsidRPr="00FF3BCB" w:rsidTr="000909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DB8" w:rsidRPr="00FF3BCB" w:rsidRDefault="00E10DB8" w:rsidP="000909B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F3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Gene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DB8" w:rsidRPr="00FF3BCB" w:rsidRDefault="00E10DB8" w:rsidP="000909B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F3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Forward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FF3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primer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FF3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(5'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FF3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FF3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3')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DB8" w:rsidRPr="00FF3BCB" w:rsidRDefault="00E10DB8" w:rsidP="000909B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F3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Reverse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FF3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primer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FF3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(5'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FF3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FF3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3')</w:t>
            </w:r>
          </w:p>
        </w:tc>
      </w:tr>
      <w:tr w:rsidR="00E10DB8" w:rsidRPr="00FF3BCB" w:rsidTr="000909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DB8" w:rsidRPr="00FF3BCB" w:rsidRDefault="00E10DB8" w:rsidP="000909B5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FF3B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Adgre1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DB8" w:rsidRPr="00FF3BCB" w:rsidRDefault="00E10DB8" w:rsidP="000909B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FF3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CTTTGGCTATGGGCTTCCAGTC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DB8" w:rsidRPr="00FF3BCB" w:rsidRDefault="00E10DB8" w:rsidP="000909B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FF3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GCAAGGAGGACAGAGTTTATCGTG</w:t>
            </w:r>
          </w:p>
        </w:tc>
      </w:tr>
      <w:tr w:rsidR="00E10DB8" w:rsidRPr="00FF3BCB" w:rsidTr="000909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DB8" w:rsidRPr="00FF3BCB" w:rsidRDefault="00E10DB8" w:rsidP="000909B5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FF3B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Il1b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DB8" w:rsidRPr="00FF3BCB" w:rsidRDefault="00E10DB8" w:rsidP="000909B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FF3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GCAACTGTTCCTGAACTCAACT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DB8" w:rsidRPr="00FF3BCB" w:rsidRDefault="00E10DB8" w:rsidP="000909B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FF3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ATCTTTTGGGGTCCGTCAACT</w:t>
            </w:r>
          </w:p>
        </w:tc>
      </w:tr>
      <w:tr w:rsidR="00E10DB8" w:rsidRPr="00FF3BCB" w:rsidTr="000909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DB8" w:rsidRPr="00FF3BCB" w:rsidRDefault="00E10DB8" w:rsidP="000909B5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FF3B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Rplp0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DB8" w:rsidRPr="00FF3BCB" w:rsidRDefault="00E10DB8" w:rsidP="000909B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FF3BCB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GGACCCGAGAAGACCTCCTT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DB8" w:rsidRPr="00FF3BCB" w:rsidRDefault="00E10DB8" w:rsidP="000909B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FF3BCB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GCACATCACTCAGAATTTCAATGG</w:t>
            </w:r>
          </w:p>
        </w:tc>
      </w:tr>
      <w:tr w:rsidR="00E10DB8" w:rsidRPr="00FF3BCB" w:rsidTr="000909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DB8" w:rsidRPr="00FF3BCB" w:rsidRDefault="00E10DB8" w:rsidP="000909B5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  <w:bookmarkStart w:id="3" w:name="_Hlk122085795"/>
            <w:r w:rsidRPr="00FF3B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Srebf1</w:t>
            </w:r>
            <w:bookmarkEnd w:id="3"/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DB8" w:rsidRPr="00FF3BCB" w:rsidRDefault="00E10DB8" w:rsidP="000909B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FF3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AGCCGTGGTGAGAAGCGCAC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DB8" w:rsidRPr="00FF3BCB" w:rsidRDefault="00E10DB8" w:rsidP="000909B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FF3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ACACCAGGTCCTTCAGTGATTTGC</w:t>
            </w:r>
            <w:r w:rsidRPr="00FF3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T</w:t>
            </w:r>
          </w:p>
        </w:tc>
      </w:tr>
      <w:tr w:rsidR="00E10DB8" w:rsidRPr="00FF3BCB" w:rsidTr="000909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DB8" w:rsidRPr="00FF3BCB" w:rsidRDefault="00E10DB8" w:rsidP="000909B5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FF3B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lastRenderedPageBreak/>
              <w:t>Tnf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DB8" w:rsidRPr="00FF3BCB" w:rsidRDefault="00E10DB8" w:rsidP="000909B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FF3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AGCCCACGTCGTAGCAAACCAC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DB8" w:rsidRPr="00FF3BCB" w:rsidRDefault="00E10DB8" w:rsidP="000909B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FF3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TCGGGGCAGCCTTGTCCCTT</w:t>
            </w:r>
          </w:p>
        </w:tc>
      </w:tr>
    </w:tbl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CB">
        <w:rPr>
          <w:rFonts w:ascii="Times New Roman" w:hAnsi="Times New Roman" w:cs="Times New Roman"/>
          <w:sz w:val="24"/>
          <w:szCs w:val="24"/>
        </w:rPr>
        <w:t>Expression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genes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normalized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expression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housekeeping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gene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i/>
          <w:iCs/>
          <w:sz w:val="24"/>
          <w:szCs w:val="24"/>
        </w:rPr>
        <w:t>Rplp0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shown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relative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E-SED.</w:t>
      </w:r>
    </w:p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0DB8" w:rsidRPr="006E3E1F" w:rsidRDefault="00E10DB8" w:rsidP="00E10DB8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Statistical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6E3E1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analyses</w:t>
      </w:r>
    </w:p>
    <w:p w:rsidR="00E10DB8" w:rsidRPr="00FF3BCB" w:rsidRDefault="00E10DB8" w:rsidP="00E10D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CB"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reported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standard error of the mean</w:t>
      </w:r>
      <w:r w:rsidRPr="00FF3B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statistical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performed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GraphPad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Prism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9.01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(GraphPad,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Jolla,</w:t>
      </w:r>
      <w:r>
        <w:rPr>
          <w:rFonts w:ascii="Times New Roman" w:hAnsi="Times New Roman" w:cs="Times New Roman"/>
          <w:sz w:val="24"/>
          <w:szCs w:val="24"/>
        </w:rPr>
        <w:t xml:space="preserve"> CA, USA</w:t>
      </w:r>
      <w:r w:rsidRPr="00FF3B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one-way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two-way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variance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followed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Tukey's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multiple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comparisons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test,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appropriate.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missing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values,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mixed-effects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analyses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performed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instead.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Statistical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outliers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removed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Grubb’s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test.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Differences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groups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considered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statistically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CB">
        <w:rPr>
          <w:rFonts w:ascii="Times New Roman" w:hAnsi="Times New Roman" w:cs="Times New Roman"/>
          <w:sz w:val="24"/>
          <w:szCs w:val="24"/>
        </w:rPr>
        <w:t>0.05.</w:t>
      </w:r>
    </w:p>
    <w:p w:rsidR="006B17AD" w:rsidRDefault="006B17AD">
      <w:pPr>
        <w:rPr>
          <w:rFonts w:eastAsia="宋体" w:hint="eastAsia"/>
          <w:lang w:eastAsia="zh-CN"/>
        </w:rPr>
      </w:pPr>
    </w:p>
    <w:p w:rsidR="00CB34E6" w:rsidRPr="00FF3BCB" w:rsidRDefault="00CB34E6" w:rsidP="00CB34E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4E6" w:rsidRPr="00AB34A2" w:rsidRDefault="00CB34E6" w:rsidP="00CB34E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4A2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CB34E6" w:rsidRPr="00AB34A2" w:rsidRDefault="00CB34E6" w:rsidP="00CB34E6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  <w:lang w:val="nl-NL"/>
        </w:rPr>
      </w:pPr>
      <w:r w:rsidRPr="0064435F">
        <w:rPr>
          <w:rFonts w:ascii="Times New Roman" w:hAnsi="Times New Roman" w:cs="Times New Roman"/>
          <w:noProof w:val="0"/>
          <w:sz w:val="24"/>
          <w:szCs w:val="24"/>
          <w:lang w:val="nl-NL"/>
        </w:rPr>
        <w:t>1.</w:t>
      </w:r>
      <w:r w:rsidRPr="0064435F">
        <w:rPr>
          <w:rFonts w:ascii="Times New Roman" w:hAnsi="Times New Roman" w:cs="Times New Roman"/>
          <w:noProof w:val="0"/>
          <w:sz w:val="24"/>
          <w:szCs w:val="24"/>
          <w:lang w:val="nl-NL"/>
        </w:rPr>
        <w:tab/>
        <w:t>Westerterp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  <w:lang w:val="nl-NL"/>
        </w:rPr>
        <w:t>M,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  <w:lang w:val="nl-NL"/>
        </w:rPr>
        <w:t>van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  <w:lang w:val="nl-NL"/>
        </w:rPr>
        <w:t>der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  <w:lang w:val="nl-NL"/>
        </w:rPr>
        <w:t>Hoogt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  <w:lang w:val="nl-NL"/>
        </w:rPr>
        <w:t>CC,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  <w:lang w:val="nl-NL"/>
        </w:rPr>
        <w:t>de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  <w:lang w:val="nl-NL"/>
        </w:rPr>
        <w:t>Haan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  <w:lang w:val="nl-NL"/>
        </w:rPr>
        <w:t>W,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  <w:lang w:val="nl-NL"/>
        </w:rPr>
        <w:t>Offerman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  <w:lang w:val="nl-NL"/>
        </w:rPr>
        <w:t>EH,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  <w:lang w:val="nl-NL"/>
        </w:rPr>
        <w:t>Dallinga-Thie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  <w:lang w:val="nl-NL"/>
        </w:rPr>
        <w:t>GM,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  <w:lang w:val="nl-NL"/>
        </w:rPr>
        <w:t>Jukema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  <w:lang w:val="nl-NL"/>
        </w:rPr>
        <w:t>JW,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et al. </w:t>
      </w:r>
      <w:r w:rsidRPr="0064435F">
        <w:rPr>
          <w:rFonts w:ascii="Times New Roman" w:hAnsi="Times New Roman" w:cs="Times New Roman"/>
          <w:noProof w:val="0"/>
          <w:sz w:val="24"/>
          <w:szCs w:val="24"/>
        </w:rPr>
        <w:t>Cholesteryl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</w:rPr>
        <w:t>ester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</w:rPr>
        <w:t>transfer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</w:rPr>
        <w:t>protein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</w:rPr>
        <w:t>decreases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</w:rPr>
        <w:t>high-density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</w:rPr>
        <w:t>lipoprotein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</w:rPr>
        <w:t>and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</w:rPr>
        <w:t>severely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</w:rPr>
        <w:t>aggravates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</w:rPr>
        <w:t>atherosclerosis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</w:rPr>
        <w:t>in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</w:rPr>
        <w:t>APOE*3-Leiden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435F">
        <w:rPr>
          <w:rFonts w:ascii="Times New Roman" w:hAnsi="Times New Roman" w:cs="Times New Roman"/>
          <w:noProof w:val="0"/>
          <w:sz w:val="24"/>
          <w:szCs w:val="24"/>
        </w:rPr>
        <w:t>mice.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AB34A2">
        <w:rPr>
          <w:rFonts w:ascii="Times New Roman" w:hAnsi="Times New Roman" w:cs="Times New Roman"/>
          <w:noProof w:val="0"/>
          <w:sz w:val="24"/>
          <w:szCs w:val="24"/>
          <w:lang w:val="nl-NL"/>
        </w:rPr>
        <w:lastRenderedPageBreak/>
        <w:t>Arterioscler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AB34A2">
        <w:rPr>
          <w:rFonts w:ascii="Times New Roman" w:hAnsi="Times New Roman" w:cs="Times New Roman"/>
          <w:noProof w:val="0"/>
          <w:sz w:val="24"/>
          <w:szCs w:val="24"/>
          <w:lang w:val="nl-NL"/>
        </w:rPr>
        <w:t>Thromb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AB34A2">
        <w:rPr>
          <w:rFonts w:ascii="Times New Roman" w:hAnsi="Times New Roman" w:cs="Times New Roman"/>
          <w:noProof w:val="0"/>
          <w:sz w:val="24"/>
          <w:szCs w:val="24"/>
          <w:lang w:val="nl-NL"/>
        </w:rPr>
        <w:t>Vasc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AB34A2">
        <w:rPr>
          <w:rFonts w:ascii="Times New Roman" w:hAnsi="Times New Roman" w:cs="Times New Roman"/>
          <w:noProof w:val="0"/>
          <w:sz w:val="24"/>
          <w:szCs w:val="24"/>
          <w:lang w:val="nl-NL"/>
        </w:rPr>
        <w:t>Biol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AB34A2">
        <w:rPr>
          <w:rFonts w:ascii="Times New Roman" w:hAnsi="Times New Roman" w:cs="Times New Roman"/>
          <w:noProof w:val="0"/>
          <w:sz w:val="24"/>
          <w:szCs w:val="24"/>
          <w:lang w:val="nl-NL"/>
        </w:rPr>
        <w:t>2006;26(11):2552-9.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AB34A2">
        <w:rPr>
          <w:rFonts w:ascii="Times New Roman" w:hAnsi="Times New Roman" w:cs="Times New Roman"/>
          <w:noProof w:val="0"/>
          <w:sz w:val="24"/>
          <w:szCs w:val="24"/>
          <w:lang w:val="nl-NL"/>
        </w:rPr>
        <w:t>doi: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AB34A2">
        <w:rPr>
          <w:rFonts w:ascii="Times New Roman" w:hAnsi="Times New Roman" w:cs="Times New Roman"/>
          <w:noProof w:val="0"/>
          <w:sz w:val="24"/>
          <w:szCs w:val="24"/>
          <w:lang w:val="nl-NL"/>
        </w:rPr>
        <w:t>10.1161/01.ATV.0000243925.65265.3c,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AB34A2">
        <w:rPr>
          <w:rFonts w:ascii="Times New Roman" w:hAnsi="Times New Roman" w:cs="Times New Roman"/>
          <w:noProof w:val="0"/>
          <w:sz w:val="24"/>
          <w:szCs w:val="24"/>
          <w:lang w:val="nl-NL"/>
        </w:rPr>
        <w:t>PMID: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AB34A2">
        <w:rPr>
          <w:rFonts w:ascii="Times New Roman" w:hAnsi="Times New Roman" w:cs="Times New Roman"/>
          <w:noProof w:val="0"/>
          <w:sz w:val="24"/>
          <w:szCs w:val="24"/>
          <w:lang w:val="nl-NL"/>
        </w:rPr>
        <w:t>16946130.</w:t>
      </w:r>
    </w:p>
    <w:p w:rsidR="00CB34E6" w:rsidRPr="00FF3BCB" w:rsidRDefault="00CB34E6" w:rsidP="00CB34E6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2.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ab/>
        <w:t>Wang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Y,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Parlevliet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ET,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Geerling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JJ,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van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der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Tuin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SJ,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Zhang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H,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Bieghs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V,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et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al.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Exendin-4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decreases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liver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inflammation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and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atherosclerosis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development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simultaneously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by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reducing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macrophage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infiltration.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Br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J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Pharmacol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2014;171(3):723-34.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doi: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10.1111/bph.12490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PMID: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24490861</w:t>
      </w:r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CB34E6" w:rsidRPr="00AB34A2" w:rsidRDefault="00CB34E6" w:rsidP="00CB34E6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  <w:lang w:val="nl-NL"/>
        </w:rPr>
      </w:pPr>
      <w:r w:rsidRPr="00FF3BCB">
        <w:rPr>
          <w:rFonts w:ascii="Times New Roman" w:hAnsi="Times New Roman" w:cs="Times New Roman"/>
          <w:noProof w:val="0"/>
          <w:sz w:val="24"/>
          <w:szCs w:val="24"/>
        </w:rPr>
        <w:t>3.</w:t>
      </w:r>
      <w:r w:rsidRPr="00FF3BCB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B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ligh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EG,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yer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WJ.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rapid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method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of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total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lipid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extraction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and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purification.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AB34A2">
        <w:rPr>
          <w:rFonts w:ascii="Times New Roman" w:hAnsi="Times New Roman" w:cs="Times New Roman"/>
          <w:noProof w:val="0"/>
          <w:sz w:val="24"/>
          <w:szCs w:val="24"/>
          <w:lang w:val="nl-NL"/>
        </w:rPr>
        <w:t>Can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AB34A2">
        <w:rPr>
          <w:rFonts w:ascii="Times New Roman" w:hAnsi="Times New Roman" w:cs="Times New Roman"/>
          <w:noProof w:val="0"/>
          <w:sz w:val="24"/>
          <w:szCs w:val="24"/>
          <w:lang w:val="nl-NL"/>
        </w:rPr>
        <w:t>J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AB34A2">
        <w:rPr>
          <w:rFonts w:ascii="Times New Roman" w:hAnsi="Times New Roman" w:cs="Times New Roman"/>
          <w:noProof w:val="0"/>
          <w:sz w:val="24"/>
          <w:szCs w:val="24"/>
          <w:lang w:val="nl-NL"/>
        </w:rPr>
        <w:t>Biochem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AB34A2">
        <w:rPr>
          <w:rFonts w:ascii="Times New Roman" w:hAnsi="Times New Roman" w:cs="Times New Roman"/>
          <w:noProof w:val="0"/>
          <w:sz w:val="24"/>
          <w:szCs w:val="24"/>
          <w:lang w:val="nl-NL"/>
        </w:rPr>
        <w:t>Physiol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AB34A2">
        <w:rPr>
          <w:rFonts w:ascii="Times New Roman" w:hAnsi="Times New Roman" w:cs="Times New Roman"/>
          <w:noProof w:val="0"/>
          <w:sz w:val="24"/>
          <w:szCs w:val="24"/>
          <w:lang w:val="nl-NL"/>
        </w:rPr>
        <w:t>1959;37(8):911-7.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AB34A2">
        <w:rPr>
          <w:rFonts w:ascii="Times New Roman" w:hAnsi="Times New Roman" w:cs="Times New Roman"/>
          <w:noProof w:val="0"/>
          <w:sz w:val="24"/>
          <w:szCs w:val="24"/>
          <w:lang w:val="nl-NL"/>
        </w:rPr>
        <w:t>doi: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AB34A2">
        <w:rPr>
          <w:rFonts w:ascii="Times New Roman" w:hAnsi="Times New Roman" w:cs="Times New Roman"/>
          <w:noProof w:val="0"/>
          <w:sz w:val="24"/>
          <w:szCs w:val="24"/>
          <w:lang w:val="nl-NL"/>
        </w:rPr>
        <w:t>10.1139/o59-099,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AB34A2">
        <w:rPr>
          <w:rFonts w:ascii="Times New Roman" w:hAnsi="Times New Roman" w:cs="Times New Roman"/>
          <w:noProof w:val="0"/>
          <w:sz w:val="24"/>
          <w:szCs w:val="24"/>
          <w:lang w:val="nl-NL"/>
        </w:rPr>
        <w:t>PMID: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AB34A2">
        <w:rPr>
          <w:rFonts w:ascii="Times New Roman" w:hAnsi="Times New Roman" w:cs="Times New Roman"/>
          <w:noProof w:val="0"/>
          <w:sz w:val="24"/>
          <w:szCs w:val="24"/>
          <w:lang w:val="nl-NL"/>
        </w:rPr>
        <w:t>13671378.</w:t>
      </w:r>
    </w:p>
    <w:p w:rsidR="00CB34E6" w:rsidRPr="00FF3BCB" w:rsidRDefault="00CB34E6" w:rsidP="00CB34E6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4.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ab/>
        <w:t>In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het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Panhuis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W,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Kooijman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S,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Brouwers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B,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Verhoeven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A,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Pronk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ACM,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Streefland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TCM,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et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  <w:lang w:val="nl-NL"/>
        </w:rPr>
        <w:t>al.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Mild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Exercise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Does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Not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Prevent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Atherosclerosis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in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APOE*3-Leiden.CETP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Mice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or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Improve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Lipoprotein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Profile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of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Men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with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Obesity.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Obesity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(Silver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Spring)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2020;28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Suppl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1(Suppl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1):S93-S103.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doi: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10.1002/oby.22799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PMID: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5308">
        <w:rPr>
          <w:rFonts w:ascii="Times New Roman" w:hAnsi="Times New Roman" w:cs="Times New Roman"/>
          <w:noProof w:val="0"/>
          <w:sz w:val="24"/>
          <w:szCs w:val="24"/>
        </w:rPr>
        <w:t>32645256</w:t>
      </w:r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CB34E6" w:rsidRPr="00EC04A3" w:rsidRDefault="00CB34E6" w:rsidP="00CB34E6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  <w:lang w:val="nl-NL"/>
        </w:rPr>
      </w:pP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5.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ab/>
        <w:t>van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der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Zande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HJP,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Gonzalez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MA,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de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Ruiter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K,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Wilbers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RHP,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García-Tardón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N,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van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Huizen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M,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et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al.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The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helminth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glycoprotein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omega-1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improves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metabolic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homeostasis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in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obese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mice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through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type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2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immunity-independent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inhibition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of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food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intake.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FASEB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J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2021;35(2):e21331.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doi: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10.1096/fj.202001973R,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PMID: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33476078.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</w:p>
    <w:p w:rsidR="00CB34E6" w:rsidRPr="00FF3BCB" w:rsidRDefault="00CB34E6" w:rsidP="00CB34E6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6.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ab/>
        <w:t>Liang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W,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Menke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AL,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Driessen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A,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Koek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GH,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Lindeman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JH,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Stoop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R,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et al</w:t>
      </w:r>
      <w:r w:rsidRPr="00EC04A3">
        <w:rPr>
          <w:rFonts w:ascii="Times New Roman" w:hAnsi="Times New Roman" w:cs="Times New Roman"/>
          <w:noProof w:val="0"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noProof w:val="0"/>
          <w:sz w:val="24"/>
          <w:szCs w:val="24"/>
          <w:lang w:val="nl-NL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Establishment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of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general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NAFLD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scoring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system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for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rodent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models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and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comparison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to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human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liver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pathology.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PLoS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One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2014;9(12):e115922.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doi: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10.1371/journal.pone.0115922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PMID: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25535951</w:t>
      </w:r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CB34E6" w:rsidRPr="00FF3BCB" w:rsidRDefault="00CB34E6" w:rsidP="00CB34E6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FF3BCB">
        <w:rPr>
          <w:rFonts w:ascii="Times New Roman" w:hAnsi="Times New Roman" w:cs="Times New Roman"/>
          <w:noProof w:val="0"/>
          <w:sz w:val="24"/>
          <w:szCs w:val="24"/>
        </w:rPr>
        <w:lastRenderedPageBreak/>
        <w:t>7.</w:t>
      </w:r>
      <w:r w:rsidRPr="00FF3BCB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Knodell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RG,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Ishak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KG,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Black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WC,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Chen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TS,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Craig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R,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Kaplowitz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N,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et al.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Formulation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and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application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of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numerical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scoring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system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for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assessing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histological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activity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in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asymptomatic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chronic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active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hepatitis.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Hepatology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1981;1(5):431-5.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doi: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10.1002/hep.1840010511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PMID: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04A3">
        <w:rPr>
          <w:rFonts w:ascii="Times New Roman" w:hAnsi="Times New Roman" w:cs="Times New Roman"/>
          <w:noProof w:val="0"/>
          <w:sz w:val="24"/>
          <w:szCs w:val="24"/>
        </w:rPr>
        <w:t>7308988.</w:t>
      </w:r>
    </w:p>
    <w:p w:rsidR="00CB34E6" w:rsidRPr="00CB34E6" w:rsidRDefault="00CB34E6">
      <w:pPr>
        <w:rPr>
          <w:rFonts w:eastAsia="宋体" w:hint="eastAsia"/>
          <w:lang w:eastAsia="zh-CN"/>
        </w:rPr>
      </w:pPr>
    </w:p>
    <w:sectPr w:rsidR="00CB34E6" w:rsidRPr="00CB34E6" w:rsidSect="00434C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3739"/>
    <w:multiLevelType w:val="hybridMultilevel"/>
    <w:tmpl w:val="FA1A526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E10DB8"/>
    <w:rsid w:val="00434C43"/>
    <w:rsid w:val="006B17AD"/>
    <w:rsid w:val="00CB34E6"/>
    <w:rsid w:val="00E1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DB8"/>
    <w:pPr>
      <w:tabs>
        <w:tab w:val="center" w:pos="4513"/>
        <w:tab w:val="right" w:pos="9026"/>
      </w:tabs>
      <w:spacing w:after="0" w:line="240" w:lineRule="auto"/>
    </w:pPr>
    <w:rPr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E10DB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E10DB8"/>
    <w:pPr>
      <w:tabs>
        <w:tab w:val="center" w:pos="4513"/>
        <w:tab w:val="right" w:pos="9026"/>
      </w:tabs>
      <w:spacing w:after="0" w:line="240" w:lineRule="auto"/>
    </w:pPr>
    <w:rPr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E10DB8"/>
    <w:rPr>
      <w:lang w:val="nl-NL"/>
    </w:rPr>
  </w:style>
  <w:style w:type="character" w:styleId="LineNumber">
    <w:name w:val="line number"/>
    <w:basedOn w:val="DefaultParagraphFont"/>
    <w:uiPriority w:val="99"/>
    <w:semiHidden/>
    <w:unhideWhenUsed/>
    <w:rsid w:val="00E10DB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10D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DB8"/>
    <w:pPr>
      <w:spacing w:after="160" w:line="240" w:lineRule="auto"/>
    </w:pPr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DB8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DB8"/>
    <w:rPr>
      <w:b/>
      <w:bCs/>
    </w:rPr>
  </w:style>
  <w:style w:type="paragraph" w:styleId="ListParagraph">
    <w:name w:val="List Paragraph"/>
    <w:basedOn w:val="Normal"/>
    <w:uiPriority w:val="34"/>
    <w:qFormat/>
    <w:rsid w:val="00E10DB8"/>
    <w:pPr>
      <w:spacing w:after="160" w:line="259" w:lineRule="auto"/>
      <w:ind w:left="720"/>
      <w:contextualSpacing/>
    </w:pPr>
    <w:rPr>
      <w:lang w:val="nl-NL"/>
    </w:rPr>
  </w:style>
  <w:style w:type="paragraph" w:customStyle="1" w:styleId="EndNoteBibliographyTitle">
    <w:name w:val="EndNote Bibliography Title"/>
    <w:basedOn w:val="Normal"/>
    <w:link w:val="EndNoteBibliographyTitleChar"/>
    <w:rsid w:val="00E10DB8"/>
    <w:pPr>
      <w:spacing w:after="0" w:line="259" w:lineRule="auto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E10DB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10DB8"/>
    <w:pPr>
      <w:spacing w:after="160"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E10DB8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E10DB8"/>
    <w:pPr>
      <w:spacing w:after="0" w:line="240" w:lineRule="auto"/>
    </w:pPr>
    <w:rPr>
      <w:lang w:val="nl-NL"/>
    </w:rPr>
  </w:style>
  <w:style w:type="paragraph" w:styleId="NormalWeb">
    <w:name w:val="Normal (Web)"/>
    <w:basedOn w:val="Normal"/>
    <w:uiPriority w:val="99"/>
    <w:semiHidden/>
    <w:unhideWhenUsed/>
    <w:rsid w:val="00E10DB8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B8"/>
    <w:pPr>
      <w:spacing w:after="0" w:line="240" w:lineRule="auto"/>
    </w:pPr>
    <w:rPr>
      <w:rFonts w:ascii="Tahoma" w:hAnsi="Tahoma" w:cs="Tahoma"/>
      <w:sz w:val="16"/>
      <w:szCs w:val="16"/>
      <w:lang w:val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B8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2023-06-10T02:07:00Z</dcterms:created>
  <dcterms:modified xsi:type="dcterms:W3CDTF">2023-06-10T02:09:00Z</dcterms:modified>
</cp:coreProperties>
</file>