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9" w:rsidRPr="00A97783" w:rsidRDefault="00DD7DC9" w:rsidP="00DD7DC9">
      <w:pPr>
        <w:spacing w:line="480" w:lineRule="auto"/>
        <w:jc w:val="both"/>
        <w:rPr>
          <w:rFonts w:eastAsia="楷体" w:cs="Times New Roman"/>
          <w:b/>
          <w:bCs/>
          <w:szCs w:val="24"/>
        </w:rPr>
      </w:pPr>
      <w:r w:rsidRPr="00A97783">
        <w:rPr>
          <w:rFonts w:eastAsia="仿宋" w:cs="Times New Roman"/>
          <w:b/>
          <w:bCs/>
          <w:szCs w:val="24"/>
        </w:rPr>
        <w:t xml:space="preserve">Supplementary Table 1. </w:t>
      </w:r>
      <w:r w:rsidRPr="00A97783">
        <w:rPr>
          <w:rFonts w:eastAsia="楷体" w:cs="Times New Roman"/>
          <w:b/>
          <w:bCs/>
          <w:szCs w:val="24"/>
        </w:rPr>
        <w:t>Genes most similar to SKA family members in LIHC (GEPIA)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6686"/>
      </w:tblGrid>
      <w:tr w:rsidR="00DD7DC9" w:rsidRPr="00A97783" w:rsidTr="00C772A5"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b/>
                <w:bCs/>
                <w:szCs w:val="24"/>
              </w:rPr>
            </w:pPr>
            <w:r w:rsidRPr="00A97783">
              <w:rPr>
                <w:rFonts w:eastAsia="楷体" w:cs="Times New Roman"/>
                <w:b/>
                <w:bCs/>
                <w:szCs w:val="24"/>
              </w:rPr>
              <w:t>Classification</w:t>
            </w:r>
          </w:p>
        </w:tc>
        <w:tc>
          <w:tcPr>
            <w:tcW w:w="6686" w:type="dxa"/>
            <w:tcBorders>
              <w:top w:val="single" w:sz="12" w:space="0" w:color="auto"/>
              <w:bottom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b/>
                <w:bCs/>
                <w:szCs w:val="24"/>
              </w:rPr>
            </w:pPr>
            <w:r w:rsidRPr="00A97783">
              <w:rPr>
                <w:rFonts w:eastAsia="楷体" w:cs="Times New Roman"/>
                <w:b/>
                <w:bCs/>
                <w:szCs w:val="24"/>
              </w:rPr>
              <w:t>Similar genes</w:t>
            </w:r>
          </w:p>
        </w:tc>
      </w:tr>
      <w:tr w:rsidR="00DD7DC9" w:rsidRPr="00A97783" w:rsidTr="00C772A5">
        <w:tc>
          <w:tcPr>
            <w:tcW w:w="2340" w:type="dxa"/>
            <w:tcBorders>
              <w:top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SKA1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KIF11, NCAPG, NDC80, CDK1, ANLN, CEP55, GTSE1, KPNA2, KIF4A, CENPA</w:t>
            </w:r>
          </w:p>
        </w:tc>
      </w:tr>
      <w:tr w:rsidR="00DD7DC9" w:rsidRPr="00A97783" w:rsidTr="00C772A5">
        <w:tc>
          <w:tcPr>
            <w:tcW w:w="2340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SKA2</w:t>
            </w:r>
          </w:p>
        </w:tc>
        <w:tc>
          <w:tcPr>
            <w:tcW w:w="6686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PRR11, KIF18B, CTD-2510F5.4, CBX1, PHF19, TPX2, ZWINT, CCNB2, KPNA2, HAUS1</w:t>
            </w:r>
          </w:p>
        </w:tc>
      </w:tr>
      <w:tr w:rsidR="00DD7DC9" w:rsidRPr="00A97783" w:rsidTr="00C772A5">
        <w:tc>
          <w:tcPr>
            <w:tcW w:w="2340" w:type="dxa"/>
            <w:tcBorders>
              <w:bottom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SKA3</w:t>
            </w:r>
          </w:p>
        </w:tc>
        <w:tc>
          <w:tcPr>
            <w:tcW w:w="6686" w:type="dxa"/>
            <w:tcBorders>
              <w:bottom w:val="single" w:sz="12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楷体" w:cs="Times New Roman"/>
                <w:szCs w:val="24"/>
              </w:rPr>
            </w:pPr>
            <w:r w:rsidRPr="00A97783">
              <w:rPr>
                <w:rFonts w:eastAsia="楷体" w:cs="Times New Roman"/>
                <w:szCs w:val="24"/>
              </w:rPr>
              <w:t>KIFC1, TPX2, NCAPG, HJURP, SGOL1, TTK, MELK, CKAP2L, GINS1, CDK1</w:t>
            </w:r>
          </w:p>
        </w:tc>
      </w:tr>
    </w:tbl>
    <w:p w:rsidR="00DD7DC9" w:rsidRPr="00A97783" w:rsidRDefault="00DD7DC9" w:rsidP="00DD7DC9">
      <w:pPr>
        <w:jc w:val="both"/>
        <w:rPr>
          <w:szCs w:val="24"/>
        </w:rPr>
      </w:pPr>
      <w:r w:rsidRPr="00A97783">
        <w:rPr>
          <w:rFonts w:eastAsia="楷体" w:cs="Times New Roman"/>
          <w:szCs w:val="24"/>
        </w:rPr>
        <w:t>LIHC, liver hepatocellular carcinoma.</w:t>
      </w:r>
    </w:p>
    <w:p w:rsidR="00DD7DC9" w:rsidRPr="00A97783" w:rsidRDefault="00DD7DC9" w:rsidP="00DD7DC9">
      <w:pPr>
        <w:jc w:val="both"/>
        <w:rPr>
          <w:rFonts w:eastAsia="楷体" w:cs="Times New Roman"/>
          <w:szCs w:val="24"/>
        </w:rPr>
      </w:pPr>
      <w:r w:rsidRPr="00A97783">
        <w:rPr>
          <w:rFonts w:eastAsia="楷体" w:cs="Times New Roman"/>
          <w:szCs w:val="24"/>
        </w:rPr>
        <w:br w:type="page"/>
      </w:r>
    </w:p>
    <w:p w:rsidR="00DD7DC9" w:rsidRPr="00A97783" w:rsidRDefault="00DD7DC9" w:rsidP="00DD7DC9">
      <w:pPr>
        <w:spacing w:line="480" w:lineRule="auto"/>
        <w:jc w:val="both"/>
        <w:rPr>
          <w:rFonts w:eastAsia="仿宋" w:cs="Times New Roman"/>
          <w:b/>
          <w:bCs/>
          <w:szCs w:val="24"/>
        </w:rPr>
      </w:pPr>
      <w:r w:rsidRPr="00A97783">
        <w:rPr>
          <w:rFonts w:eastAsia="仿宋" w:cs="Times New Roman"/>
          <w:b/>
          <w:bCs/>
          <w:szCs w:val="24"/>
        </w:rPr>
        <w:lastRenderedPageBreak/>
        <w:t xml:space="preserve">Supplementary Table </w:t>
      </w:r>
      <w:r w:rsidRPr="00A97783">
        <w:rPr>
          <w:rFonts w:eastAsia="仿宋" w:cs="Times New Roman"/>
          <w:b/>
          <w:bCs/>
          <w:szCs w:val="24"/>
          <w:lang w:eastAsia="zh-CN"/>
        </w:rPr>
        <w:t>2</w:t>
      </w:r>
      <w:r w:rsidRPr="00A97783">
        <w:rPr>
          <w:rFonts w:eastAsia="仿宋" w:cs="Times New Roman"/>
          <w:b/>
          <w:bCs/>
          <w:szCs w:val="24"/>
        </w:rPr>
        <w:t>. GO and KEGG enrichment analysis of SKA family genes and their most similar genes in LIHC</w:t>
      </w:r>
    </w:p>
    <w:tbl>
      <w:tblPr>
        <w:tblW w:w="9423" w:type="dxa"/>
        <w:jc w:val="center"/>
        <w:tblLayout w:type="fixed"/>
        <w:tblLook w:val="0420"/>
      </w:tblPr>
      <w:tblGrid>
        <w:gridCol w:w="1152"/>
        <w:gridCol w:w="1258"/>
        <w:gridCol w:w="1701"/>
        <w:gridCol w:w="1112"/>
        <w:gridCol w:w="1155"/>
        <w:gridCol w:w="1015"/>
        <w:gridCol w:w="1015"/>
        <w:gridCol w:w="1015"/>
      </w:tblGrid>
      <w:tr w:rsidR="00DD7DC9" w:rsidRPr="00A97783" w:rsidTr="00C772A5">
        <w:trPr>
          <w:cantSplit/>
          <w:tblHeader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ONTOLOGY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ID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Gene ratio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Bg ratio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  <w:r w:rsidRPr="00A97783">
              <w:rPr>
                <w:rFonts w:eastAsia="Times New Roman" w:cs="Times New Roman"/>
                <w:b/>
                <w:bCs/>
                <w:szCs w:val="24"/>
              </w:rPr>
              <w:t>-value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  <w:r w:rsidRPr="00A97783">
              <w:rPr>
                <w:rFonts w:eastAsia="Times New Roman" w:cs="Times New Roman"/>
                <w:b/>
                <w:bCs/>
                <w:szCs w:val="24"/>
              </w:rPr>
              <w:t>-adjust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q</w:t>
            </w:r>
            <w:r w:rsidRPr="00A97783">
              <w:rPr>
                <w:rFonts w:eastAsia="Times New Roman" w:cs="Times New Roman"/>
                <w:b/>
                <w:bCs/>
                <w:szCs w:val="24"/>
              </w:rPr>
              <w:t>-value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BP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GO:0007059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chromosome segregation</w:t>
            </w:r>
          </w:p>
        </w:tc>
        <w:tc>
          <w:tcPr>
            <w:tcW w:w="111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11/26</w:t>
            </w:r>
          </w:p>
        </w:tc>
        <w:tc>
          <w:tcPr>
            <w:tcW w:w="115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321/18670</w:t>
            </w:r>
          </w:p>
        </w:tc>
        <w:tc>
          <w:tcPr>
            <w:tcW w:w="101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2.01e-13</w:t>
            </w:r>
          </w:p>
        </w:tc>
        <w:tc>
          <w:tcPr>
            <w:tcW w:w="101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9.24e-11</w:t>
            </w:r>
          </w:p>
        </w:tc>
        <w:tc>
          <w:tcPr>
            <w:tcW w:w="101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5.58e-11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BP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GO:0140014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mitotic nuclear division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10/26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264/18670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1.17e-12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2.70e-10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1.63e-10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BP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GO:0000280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nuclear division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10/26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407/18670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8.45e-11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1.30e-08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7.83e-09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BP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GO:0048285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organelle fission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10/26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449/18670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2.20e-10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2.54e-08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1.53e-08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BP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GO:1902850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microtubule cytoskeleton organization involved in mitosis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7/26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131/18670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4.19e-10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3.86e-08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2.33e-08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GO:0005819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spindle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13/27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347/19717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2.00e-16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1.62e-14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7.56e-15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GO:0000775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chromosome, centromeric region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10/27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193/19717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4.66e-14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1.89e-12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8.84e-13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GO:0098687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chromosomal region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11/27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349/19717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4.62e-13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1.25e-11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5.84e-12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GO:0005876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spindle microtubule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7/27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59/19717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1.26e-12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2.55e-11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1.19e-11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CC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GO:0000779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condensed chromosome, centromeric region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8/27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118/19717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2.61e-12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4.20e-11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1.97e-11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MF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GO:0008017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microtubule binding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6/25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246/17697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9.63e-07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5.01e-05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3.14e-05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MF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GO:0003777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microtubule motor activity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4/25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84/17697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5.54e-06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1.01e-04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6.36e-05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MF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GO:0015631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tubulin binding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6/25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336/17697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5.85e-06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1.01e-04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6.36e-05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MF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GO:0003774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motor activity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4/25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136/17697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3.72e-05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4.84e-04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3.04e-04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lastRenderedPageBreak/>
              <w:t>MF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GO:0008574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ATP-dependent microtubule motor activity, plus-end-directed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2/25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26/17697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6.10e-04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0.004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KEGG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hsa04115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p53 signaling pathway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3/5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73/8076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7.00e-06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7.70e-05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3.68e-05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KEGG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hsa04110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Cell cycle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3/5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124/8076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3.45e-05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1.90e-04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9.09e-05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KEGG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hsa04914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Progesterone-mediated oocyte maturation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2/5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100/8076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0.003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KEGG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hsa04114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Oocyte meiosis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2/5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129/8076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0.003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KEGG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hsa04218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Cellular senescence</w:t>
            </w:r>
          </w:p>
        </w:tc>
        <w:tc>
          <w:tcPr>
            <w:tcW w:w="111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2/5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156/8076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0.004</w:t>
            </w:r>
          </w:p>
        </w:tc>
      </w:tr>
    </w:tbl>
    <w:p w:rsidR="00DD7DC9" w:rsidRPr="00A97783" w:rsidRDefault="00DD7DC9" w:rsidP="00DD7DC9">
      <w:pPr>
        <w:jc w:val="both"/>
        <w:rPr>
          <w:rFonts w:cs="Times New Roman"/>
          <w:szCs w:val="24"/>
        </w:rPr>
      </w:pPr>
      <w:r w:rsidRPr="00A97783">
        <w:rPr>
          <w:rFonts w:cs="Times New Roman"/>
          <w:szCs w:val="24"/>
        </w:rPr>
        <w:t>LIHC, liver hepatocellular carcinoma; GO, gene ontology</w:t>
      </w:r>
      <w:r w:rsidRPr="00A97783">
        <w:rPr>
          <w:rFonts w:cs="Times New Roman"/>
          <w:szCs w:val="24"/>
          <w:lang w:eastAsia="zh-CN"/>
        </w:rPr>
        <w:t xml:space="preserve">; </w:t>
      </w:r>
      <w:r w:rsidRPr="00A97783">
        <w:rPr>
          <w:rFonts w:cs="Times New Roman"/>
          <w:szCs w:val="24"/>
        </w:rPr>
        <w:t>KEGG, and Kyoto Encyclopedia of Genes and Genomes.</w:t>
      </w:r>
    </w:p>
    <w:p w:rsidR="00DD7DC9" w:rsidRPr="00A97783" w:rsidRDefault="00DD7DC9" w:rsidP="00DD7DC9">
      <w:pPr>
        <w:jc w:val="both"/>
        <w:rPr>
          <w:rFonts w:eastAsia="楷体" w:cs="Times New Roman"/>
          <w:szCs w:val="24"/>
        </w:rPr>
      </w:pPr>
      <w:r w:rsidRPr="00A97783">
        <w:rPr>
          <w:rFonts w:eastAsia="楷体" w:cs="Times New Roman"/>
          <w:szCs w:val="24"/>
        </w:rPr>
        <w:br w:type="page"/>
      </w:r>
    </w:p>
    <w:p w:rsidR="00DD7DC9" w:rsidRPr="00A97783" w:rsidRDefault="00DD7DC9" w:rsidP="00DD7DC9">
      <w:pPr>
        <w:jc w:val="both"/>
        <w:rPr>
          <w:rFonts w:cs="Times New Roman"/>
          <w:b/>
          <w:bCs/>
          <w:szCs w:val="24"/>
        </w:rPr>
        <w:sectPr w:rsidR="00DD7DC9" w:rsidRPr="00A97783" w:rsidSect="00151C81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7DC9" w:rsidRPr="00A97783" w:rsidRDefault="00DD7DC9" w:rsidP="00DD7DC9">
      <w:pPr>
        <w:jc w:val="both"/>
        <w:rPr>
          <w:rFonts w:cs="Times New Roman"/>
          <w:b/>
          <w:bCs/>
          <w:szCs w:val="24"/>
        </w:rPr>
      </w:pPr>
    </w:p>
    <w:p w:rsidR="00DD7DC9" w:rsidRPr="00A97783" w:rsidRDefault="00DD7DC9" w:rsidP="00DD7DC9">
      <w:pPr>
        <w:jc w:val="both"/>
        <w:rPr>
          <w:rFonts w:cs="Times New Roman"/>
          <w:b/>
          <w:bCs/>
          <w:szCs w:val="24"/>
        </w:rPr>
      </w:pPr>
      <w:r w:rsidRPr="00A97783">
        <w:rPr>
          <w:rFonts w:cs="Times New Roman"/>
          <w:b/>
          <w:bCs/>
          <w:szCs w:val="24"/>
        </w:rPr>
        <w:t>Supplementary Table 3. Relationships between SKA genes expression and clinicopathological features in LIHC patients in TCGA database</w:t>
      </w:r>
    </w:p>
    <w:p w:rsidR="00DD7DC9" w:rsidRPr="00A97783" w:rsidRDefault="00DD7DC9" w:rsidP="00DD7DC9">
      <w:pPr>
        <w:jc w:val="both"/>
        <w:rPr>
          <w:rFonts w:cs="Times New Roman"/>
          <w:szCs w:val="24"/>
        </w:rPr>
      </w:pPr>
    </w:p>
    <w:tbl>
      <w:tblPr>
        <w:tblW w:w="12900" w:type="dxa"/>
        <w:jc w:val="center"/>
        <w:tblLayout w:type="fixed"/>
        <w:tblLook w:val="0420"/>
      </w:tblPr>
      <w:tblGrid>
        <w:gridCol w:w="1844"/>
        <w:gridCol w:w="1417"/>
        <w:gridCol w:w="1418"/>
        <w:gridCol w:w="567"/>
        <w:gridCol w:w="1842"/>
        <w:gridCol w:w="1276"/>
        <w:gridCol w:w="709"/>
        <w:gridCol w:w="1276"/>
        <w:gridCol w:w="1701"/>
        <w:gridCol w:w="850"/>
      </w:tblGrid>
      <w:tr w:rsidR="00DD7DC9" w:rsidRPr="00A97783" w:rsidTr="00C772A5">
        <w:trPr>
          <w:cantSplit/>
          <w:tblHeader/>
          <w:jc w:val="center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Characteristic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Low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High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Low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High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DD7DC9">
            <w:pPr>
              <w:spacing w:before="60" w:after="60" w:line="180" w:lineRule="auto"/>
              <w:ind w:right="815" w:firstLineChars="150" w:firstLine="331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Low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High expression</w:t>
            </w:r>
          </w:p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of SKA3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Age,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0.133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0.055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&lt;=60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81 (21.7%)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96 (25.7%)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76 (20.4%)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101 (27.1%)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79 (21.2%)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98 (26.3%)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&gt;60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106 (28.4%)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90 (24.1%)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111 (29.8%)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85 (22.8%)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108 (29%)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88 (23.6%)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Gender,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0.122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0.507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53 (14.2%)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68 (18.2%)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61 (16.3%)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60 (16%)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57 (15.2%)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64 (17.1%)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Male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134 (35.8%)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119 (31.8%)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(33.7%)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127 (34%)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130 (34.8%)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123 (32.9%)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 stage,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&lt; 0.001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0.031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110 (29.6%)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73 (19.7%)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104 (28%)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79 (21.3%)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105 (28.3%)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78 (21%)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36 (9.7%)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59 (15.9%)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46 (12.4%)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49 (13.2%)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41 (11.1%)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54 (14.6%)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34 (9.2%)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46 (12.4%)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29 (7.8%)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51 (13.7%)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33 (8.9%)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47 (12.7%)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T4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 (1.1%)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 (2.4%)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 (1.6%)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7 (1.9%)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 (1.3%)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 (2.2%)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 stage,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(48.8%)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128 (49.6%)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120 (46.5%)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134 (51.9%)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117 (45.3%)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137 (53.1%)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 (0.8%)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 (0.8%)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 (1.2%)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 (0.8%)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 (0.8%)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 stage,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0.358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0.348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129 (47.4%)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139 (51.1%)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124 (45.6%)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144 (52.9%)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(46.3%)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142 (52.2%)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M1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 (1.1%)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 (1.1%)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 (1.1%)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AFP (ng/ml),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&lt; 0.001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&lt; 0.001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&lt;=400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(45%)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89 (31.8%)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123 (43.9%)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92 (32.9%)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(45%)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89 (31.8%)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&gt;400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21 (7.5%)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44 (15.7%)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23 (8.2%)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42 (15%)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15 (5.4%)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50 (17.9%)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Child-Pugh grade,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0.363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119 (49.4%)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100 (41.5%)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122 (50.6%)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97 (40.2%)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119 (49.4%)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100 (41.5%)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 (4.6%)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 (4.1%)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 (3.7%)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 (5%)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 (3.7%)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 (5%)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 (0%)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 (0%)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 (0.4%)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 (0%)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Fibrosis Ishak score,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0.711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0.436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46 (21.4%)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29 (13.5%)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47 (21.9%)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28 (13%)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47 (21.9%)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28 (13%)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1/2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18 (8.4%)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 (6%)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15 (7%)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16 (7.4%)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15 (7%)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16 (7.4%)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3/4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 (6.5%)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 (6.5%)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13 (6%)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15 (7%)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 (6.5%)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14 (6.5%)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5/6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44 (20.5%)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37 (17.2%)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41 (19.1%)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40 (18.6%)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43 (20%)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38 (17.7%)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Vascular invasion,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0.181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0.950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0.142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No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118 (37.1%)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90 (28.3%)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110 (34.6%)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98 (30.8%)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114 (35.8%)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94 (29.6%)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Yes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53 (16.7%)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57 (17.9%)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57 (17.9%)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53 (16.7%)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50 (15.7%)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60 (18.9%)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Albumin(g/dl),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1.000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&lt;3.5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38 (12.7%)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31 (10.3%)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32 (10.7%)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37 (12.3%)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37 (12.3%)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32 (10.7%)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≥3.5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126 (42%)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105 (35%)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123 (41%)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108 (36%)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122 (40.7%)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109 (36.3%)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Prothrombin time, n (%)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0.046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97783">
              <w:rPr>
                <w:rFonts w:eastAsia="Times New Roman" w:cs="Times New Roman"/>
                <w:b/>
                <w:bCs/>
                <w:szCs w:val="24"/>
              </w:rPr>
              <w:t>0.006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eastAsia="Times New Roman"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0.062</w:t>
            </w: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≤4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103 (34.7%)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105 (35.4%)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95 (32%)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113 (38%)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100 (33.7%)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108 (36.4%)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  <w:tr w:rsidR="00DD7DC9" w:rsidRPr="00A97783" w:rsidTr="00C772A5">
        <w:trPr>
          <w:cantSplit/>
          <w:jc w:val="center"/>
        </w:trPr>
        <w:tc>
          <w:tcPr>
            <w:tcW w:w="184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&gt;4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56 (18.9%)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33 (11.1%)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57 (19.2%)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32 (10.8%)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54 (18.2%)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eastAsia="Times New Roman" w:cs="Times New Roman"/>
                <w:szCs w:val="24"/>
              </w:rPr>
              <w:t>35 (11.8%)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D7DC9" w:rsidRPr="00A97783" w:rsidRDefault="00DD7DC9" w:rsidP="00C772A5">
            <w:pPr>
              <w:spacing w:before="60" w:after="60" w:line="180" w:lineRule="auto"/>
              <w:ind w:left="60" w:right="60"/>
              <w:jc w:val="both"/>
              <w:rPr>
                <w:rFonts w:cs="Times New Roman"/>
                <w:szCs w:val="24"/>
              </w:rPr>
            </w:pPr>
          </w:p>
        </w:tc>
      </w:tr>
    </w:tbl>
    <w:p w:rsidR="00DD7DC9" w:rsidRPr="00A97783" w:rsidRDefault="00DD7DC9" w:rsidP="00DD7DC9">
      <w:pPr>
        <w:spacing w:line="180" w:lineRule="auto"/>
        <w:ind w:firstLineChars="100" w:firstLine="220"/>
        <w:jc w:val="both"/>
        <w:rPr>
          <w:szCs w:val="24"/>
        </w:rPr>
      </w:pPr>
      <w:r w:rsidRPr="00A97783">
        <w:rPr>
          <w:szCs w:val="24"/>
        </w:rPr>
        <w:t>LIHC, liver hepatocellular carcinoma;</w:t>
      </w:r>
      <w:r w:rsidRPr="00A97783">
        <w:t xml:space="preserve"> </w:t>
      </w:r>
      <w:r w:rsidRPr="00A97783">
        <w:rPr>
          <w:szCs w:val="24"/>
        </w:rPr>
        <w:t>TCGA, The Cancer Genome Atlas.</w:t>
      </w:r>
    </w:p>
    <w:p w:rsidR="00DD7DC9" w:rsidRPr="00A97783" w:rsidRDefault="00DD7DC9" w:rsidP="00DD7DC9">
      <w:pPr>
        <w:jc w:val="both"/>
        <w:rPr>
          <w:rFonts w:eastAsia="楷体" w:cs="Times New Roman"/>
          <w:szCs w:val="24"/>
        </w:rPr>
      </w:pPr>
      <w:r w:rsidRPr="00A97783">
        <w:rPr>
          <w:rFonts w:eastAsia="楷体" w:cs="Times New Roman"/>
          <w:szCs w:val="24"/>
        </w:rPr>
        <w:br w:type="page"/>
      </w:r>
    </w:p>
    <w:p w:rsidR="00DD7DC9" w:rsidRPr="00A97783" w:rsidRDefault="00DD7DC9" w:rsidP="00DD7DC9">
      <w:pPr>
        <w:spacing w:after="0" w:line="480" w:lineRule="auto"/>
        <w:jc w:val="both"/>
        <w:rPr>
          <w:rFonts w:eastAsia="楷体" w:cs="Times New Roman"/>
          <w:szCs w:val="24"/>
        </w:rPr>
        <w:sectPr w:rsidR="00DD7DC9" w:rsidRPr="00A97783" w:rsidSect="00021101">
          <w:pgSz w:w="16838" w:h="11906" w:orient="landscape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DD7DC9" w:rsidRPr="00A97783" w:rsidRDefault="00DD7DC9" w:rsidP="00DD7DC9">
      <w:pPr>
        <w:spacing w:line="480" w:lineRule="auto"/>
        <w:jc w:val="both"/>
        <w:rPr>
          <w:rFonts w:eastAsia="仿宋" w:cs="Times New Roman"/>
          <w:b/>
          <w:bCs/>
          <w:szCs w:val="24"/>
        </w:rPr>
      </w:pPr>
      <w:r w:rsidRPr="00A97783">
        <w:rPr>
          <w:rFonts w:eastAsia="仿宋" w:cs="Times New Roman"/>
          <w:b/>
          <w:bCs/>
          <w:szCs w:val="24"/>
        </w:rPr>
        <w:t>Supplementary Table 4. AUCs, optimal cutoff values, sensitivity, specificity and Youden index of SKA1/2/3 mRNA levels for predicting LIHC</w:t>
      </w:r>
    </w:p>
    <w:tbl>
      <w:tblPr>
        <w:tblStyle w:val="TableGrid"/>
        <w:tblW w:w="90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7"/>
        <w:gridCol w:w="2495"/>
        <w:gridCol w:w="1056"/>
        <w:gridCol w:w="1418"/>
        <w:gridCol w:w="1417"/>
        <w:gridCol w:w="1515"/>
      </w:tblGrid>
      <w:tr w:rsidR="00DD7DC9" w:rsidRPr="00A97783" w:rsidTr="00C772A5">
        <w:trPr>
          <w:trHeight w:val="385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b/>
                <w:bCs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Variable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AUC (95% CI)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Cutoff 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Sensitivity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Specificity (%)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b/>
                <w:bCs/>
                <w:szCs w:val="24"/>
              </w:rPr>
            </w:pPr>
            <w:r w:rsidRPr="00A97783">
              <w:rPr>
                <w:rFonts w:eastAsia="仿宋" w:cs="Times New Roman"/>
                <w:b/>
                <w:bCs/>
                <w:szCs w:val="24"/>
              </w:rPr>
              <w:t>Youden index (%)</w:t>
            </w:r>
          </w:p>
        </w:tc>
      </w:tr>
      <w:tr w:rsidR="00DD7DC9" w:rsidRPr="00A97783" w:rsidTr="00C772A5">
        <w:tc>
          <w:tcPr>
            <w:tcW w:w="1127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SKA1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0.982</w:t>
            </w:r>
            <w:r w:rsidRPr="00A97783">
              <w:rPr>
                <w:szCs w:val="24"/>
              </w:rPr>
              <w:t xml:space="preserve"> (</w:t>
            </w:r>
            <w:r w:rsidRPr="00A97783">
              <w:rPr>
                <w:rFonts w:eastAsia="仿宋" w:cs="Times New Roman"/>
                <w:szCs w:val="24"/>
              </w:rPr>
              <w:t>0.970-0.994)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0.433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95.2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96.0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91.2</w:t>
            </w:r>
          </w:p>
        </w:tc>
      </w:tr>
      <w:tr w:rsidR="00DD7DC9" w:rsidRPr="00A97783" w:rsidTr="00C772A5">
        <w:trPr>
          <w:trHeight w:val="67"/>
        </w:trPr>
        <w:tc>
          <w:tcPr>
            <w:tcW w:w="1127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SKA2</w:t>
            </w:r>
          </w:p>
        </w:tc>
        <w:tc>
          <w:tcPr>
            <w:tcW w:w="2495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0.887 (0.852-0.922)</w:t>
            </w:r>
          </w:p>
        </w:tc>
        <w:tc>
          <w:tcPr>
            <w:tcW w:w="1056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3.279</w:t>
            </w:r>
          </w:p>
        </w:tc>
        <w:tc>
          <w:tcPr>
            <w:tcW w:w="1418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85.0</w:t>
            </w:r>
          </w:p>
        </w:tc>
        <w:tc>
          <w:tcPr>
            <w:tcW w:w="1417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82.0</w:t>
            </w:r>
          </w:p>
        </w:tc>
        <w:tc>
          <w:tcPr>
            <w:tcW w:w="1515" w:type="dxa"/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67.0</w:t>
            </w:r>
          </w:p>
        </w:tc>
      </w:tr>
      <w:tr w:rsidR="00DD7DC9" w:rsidRPr="00A97783" w:rsidTr="00C772A5">
        <w:trPr>
          <w:trHeight w:val="86"/>
        </w:trPr>
        <w:tc>
          <w:tcPr>
            <w:tcW w:w="1127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SKA3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0.973 (0.957-0.989)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0.511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92.8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eastAsia="仿宋" w:cs="Times New Roman"/>
                <w:szCs w:val="24"/>
              </w:rPr>
              <w:t>92.0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D7DC9" w:rsidRPr="00A97783" w:rsidRDefault="00DD7DC9" w:rsidP="00C772A5">
            <w:pPr>
              <w:spacing w:line="480" w:lineRule="auto"/>
              <w:jc w:val="both"/>
              <w:rPr>
                <w:rFonts w:eastAsia="仿宋"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84.8</w:t>
            </w:r>
          </w:p>
        </w:tc>
      </w:tr>
    </w:tbl>
    <w:p w:rsidR="00DD7DC9" w:rsidRPr="00A97783" w:rsidRDefault="00DD7DC9" w:rsidP="00DD7DC9">
      <w:pPr>
        <w:spacing w:line="360" w:lineRule="auto"/>
        <w:jc w:val="both"/>
        <w:rPr>
          <w:szCs w:val="24"/>
        </w:rPr>
      </w:pPr>
      <w:r w:rsidRPr="00A97783">
        <w:rPr>
          <w:szCs w:val="24"/>
        </w:rPr>
        <w:t>AUC, area under the curve; LIHC, liver hepatocellular carcinoma.</w:t>
      </w:r>
    </w:p>
    <w:p w:rsidR="00DD7DC9" w:rsidRPr="00A97783" w:rsidRDefault="00DD7DC9" w:rsidP="00DD7DC9">
      <w:pPr>
        <w:jc w:val="both"/>
        <w:rPr>
          <w:rFonts w:eastAsia="楷体" w:cs="Times New Roman"/>
          <w:szCs w:val="24"/>
        </w:rPr>
      </w:pPr>
      <w:r w:rsidRPr="00A97783">
        <w:rPr>
          <w:rFonts w:eastAsia="楷体" w:cs="Times New Roman"/>
          <w:szCs w:val="24"/>
        </w:rPr>
        <w:br w:type="page"/>
      </w:r>
    </w:p>
    <w:p w:rsidR="00DD7DC9" w:rsidRPr="00A97783" w:rsidRDefault="00DD7DC9" w:rsidP="00DD7DC9">
      <w:pPr>
        <w:spacing w:line="360" w:lineRule="auto"/>
        <w:jc w:val="both"/>
        <w:rPr>
          <w:rFonts w:eastAsia="楷体" w:cs="Times New Roman"/>
          <w:b/>
          <w:bCs/>
          <w:szCs w:val="24"/>
        </w:rPr>
      </w:pPr>
      <w:r w:rsidRPr="00A97783">
        <w:rPr>
          <w:rFonts w:eastAsia="等线" w:cs="Times New Roman"/>
          <w:b/>
          <w:bCs/>
          <w:szCs w:val="24"/>
        </w:rPr>
        <w:t>Supplementary Table 5. Primer sequences for qRT-PCR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"/>
        <w:gridCol w:w="3509"/>
        <w:gridCol w:w="3770"/>
      </w:tblGrid>
      <w:tr w:rsidR="00DD7DC9" w:rsidRPr="00A97783" w:rsidTr="00C772A5"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Genes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Forward</w:t>
            </w:r>
          </w:p>
        </w:tc>
        <w:tc>
          <w:tcPr>
            <w:tcW w:w="3770" w:type="dxa"/>
            <w:tcBorders>
              <w:top w:val="single" w:sz="12" w:space="0" w:color="auto"/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Reverse</w:t>
            </w:r>
          </w:p>
        </w:tc>
      </w:tr>
      <w:tr w:rsidR="00DD7DC9" w:rsidRPr="00A97783" w:rsidTr="00C772A5">
        <w:tc>
          <w:tcPr>
            <w:tcW w:w="1027" w:type="dxa"/>
            <w:tcBorders>
              <w:top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GAPDH</w:t>
            </w:r>
          </w:p>
        </w:tc>
        <w:tc>
          <w:tcPr>
            <w:tcW w:w="3509" w:type="dxa"/>
            <w:tcBorders>
              <w:top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-GGTTGTCTCCTGCGACTTCA-3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-TGGTCCAGGGTTTCTTACTCC-3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</w:tr>
      <w:tr w:rsidR="00DD7DC9" w:rsidRPr="00A97783" w:rsidTr="00C772A5">
        <w:trPr>
          <w:trHeight w:val="164"/>
        </w:trPr>
        <w:tc>
          <w:tcPr>
            <w:tcW w:w="1027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SKA1</w:t>
            </w:r>
          </w:p>
        </w:tc>
        <w:tc>
          <w:tcPr>
            <w:tcW w:w="3509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-CCTGAACCCGTAAAGCCT-3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  <w:tc>
          <w:tcPr>
            <w:tcW w:w="3770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-TCATGTACGAAGGAACACCATTG-3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</w:tr>
      <w:tr w:rsidR="00DD7DC9" w:rsidRPr="00A97783" w:rsidTr="00C772A5">
        <w:trPr>
          <w:trHeight w:val="164"/>
        </w:trPr>
        <w:tc>
          <w:tcPr>
            <w:tcW w:w="1027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SKA2</w:t>
            </w:r>
          </w:p>
        </w:tc>
        <w:tc>
          <w:tcPr>
            <w:tcW w:w="3509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-ATGGAGGCGGAGGTCGATAA-3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  <w:tc>
          <w:tcPr>
            <w:tcW w:w="3770" w:type="dxa"/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-AAGCGGGCATACAAAGTTTGA-3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</w:tr>
      <w:tr w:rsidR="00DD7DC9" w:rsidRPr="00A97783" w:rsidTr="00C772A5">
        <w:trPr>
          <w:trHeight w:val="164"/>
        </w:trPr>
        <w:tc>
          <w:tcPr>
            <w:tcW w:w="1027" w:type="dxa"/>
            <w:tcBorders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SKA3</w:t>
            </w:r>
          </w:p>
        </w:tc>
        <w:tc>
          <w:tcPr>
            <w:tcW w:w="3509" w:type="dxa"/>
            <w:tcBorders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-TACACGAGCAAGAAGCCATTAAC-3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  <w:tc>
          <w:tcPr>
            <w:tcW w:w="3770" w:type="dxa"/>
            <w:tcBorders>
              <w:bottom w:val="single" w:sz="12" w:space="0" w:color="auto"/>
            </w:tcBorders>
          </w:tcPr>
          <w:p w:rsidR="00DD7DC9" w:rsidRPr="00A97783" w:rsidRDefault="00DD7DC9" w:rsidP="00C772A5">
            <w:pPr>
              <w:jc w:val="both"/>
              <w:rPr>
                <w:rFonts w:cs="Times New Roman"/>
                <w:szCs w:val="24"/>
              </w:rPr>
            </w:pPr>
            <w:r w:rsidRPr="00A97783">
              <w:rPr>
                <w:rFonts w:cs="Times New Roman"/>
                <w:szCs w:val="24"/>
              </w:rPr>
              <w:t>5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  <w:r w:rsidRPr="00A97783">
              <w:rPr>
                <w:rFonts w:cs="Times New Roman"/>
                <w:szCs w:val="24"/>
              </w:rPr>
              <w:t>-GGATACGATGTACCGCTCAAGT-3</w:t>
            </w:r>
            <w:r>
              <w:rPr>
                <w:rFonts w:cs="Times New Roman" w:hint="eastAsia"/>
                <w:kern w:val="2"/>
                <w:szCs w:val="24"/>
              </w:rPr>
              <w:sym w:font="Symbol" w:char="F0A2"/>
            </w:r>
          </w:p>
        </w:tc>
      </w:tr>
    </w:tbl>
    <w:p w:rsidR="007A16B8" w:rsidRDefault="007A16B8"/>
    <w:sectPr w:rsidR="007A16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D7DC9"/>
    <w:rsid w:val="007A16B8"/>
    <w:rsid w:val="00D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C9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2021-11-18T06:50:00Z</dcterms:created>
  <dcterms:modified xsi:type="dcterms:W3CDTF">2021-11-18T06:50:00Z</dcterms:modified>
</cp:coreProperties>
</file>