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00" w:rsidRPr="002278AF" w:rsidRDefault="00B06300" w:rsidP="00A74D91">
      <w:pPr>
        <w:spacing w:afterLines="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8"/>
        </w:rPr>
        <w:t>Supplementary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Table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Multivariate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logistic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regression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analysis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of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PGS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with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HBsAg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loss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in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the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hAnsi="Times New Roman"/>
          <w:b/>
          <w:bCs/>
          <w:sz w:val="24"/>
          <w:szCs w:val="24"/>
        </w:rPr>
        <w:t>two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eastAsia="宋体" w:hAnsi="Times New Roman"/>
          <w:b/>
          <w:bCs/>
          <w:sz w:val="24"/>
          <w:szCs w:val="24"/>
        </w:rPr>
        <w:t>PegIFNα</w:t>
      </w:r>
      <w:r>
        <w:rPr>
          <w:rFonts w:ascii="Times New Roman" w:eastAsia="宋体" w:hAnsi="Times New Roman"/>
          <w:b/>
          <w:bCs/>
          <w:sz w:val="24"/>
          <w:szCs w:val="24"/>
        </w:rPr>
        <w:t xml:space="preserve"> </w:t>
      </w:r>
      <w:r w:rsidRPr="002278AF">
        <w:rPr>
          <w:rFonts w:ascii="Times New Roman" w:eastAsia="宋体" w:hAnsi="Times New Roman"/>
          <w:b/>
          <w:bCs/>
          <w:sz w:val="24"/>
          <w:szCs w:val="24"/>
        </w:rPr>
        <w:t>cohorts</w:t>
      </w:r>
      <w:r>
        <w:rPr>
          <w:rFonts w:ascii="Times New Roman" w:eastAsia="宋体" w:hAnsi="Times New Roman"/>
          <w:b/>
          <w:bCs/>
          <w:sz w:val="24"/>
          <w:szCs w:val="24"/>
        </w:rPr>
        <w:t>.</w:t>
      </w:r>
    </w:p>
    <w:tbl>
      <w:tblPr>
        <w:tblW w:w="13750" w:type="dxa"/>
        <w:tblLook w:val="04A0"/>
      </w:tblPr>
      <w:tblGrid>
        <w:gridCol w:w="3119"/>
        <w:gridCol w:w="1984"/>
        <w:gridCol w:w="1418"/>
        <w:gridCol w:w="283"/>
        <w:gridCol w:w="1843"/>
        <w:gridCol w:w="1418"/>
        <w:gridCol w:w="283"/>
        <w:gridCol w:w="1985"/>
        <w:gridCol w:w="1417"/>
      </w:tblGrid>
      <w:tr w:rsidR="00B06300" w:rsidRPr="002278AF" w:rsidTr="004F1F99">
        <w:trPr>
          <w:trHeight w:val="310"/>
        </w:trPr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B06300" w:rsidRPr="002278AF" w:rsidRDefault="00B06300" w:rsidP="004F1F99">
            <w:pPr>
              <w:ind w:firstLineChars="300" w:firstLine="663"/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>Parameters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>PegIFNα</w:t>
            </w:r>
            <w:r>
              <w:rPr>
                <w:rFonts w:ascii="Times New Roman" w:eastAsia="宋体" w:hAnsi="Times New Roman"/>
                <w:b/>
                <w:bCs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</w:rPr>
              <w:t>cohort</w:t>
            </w:r>
            <w:r>
              <w:rPr>
                <w:rFonts w:ascii="Times New Roman" w:eastAsia="宋体" w:hAnsi="Times New Roman"/>
                <w:b/>
                <w:bCs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 xml:space="preserve">　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>PegIFNα</w:t>
            </w:r>
            <w:r>
              <w:rPr>
                <w:rFonts w:ascii="Times New Roman" w:eastAsia="宋体" w:hAnsi="Times New Roman"/>
                <w:b/>
                <w:bCs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</w:rPr>
              <w:t>cohort</w:t>
            </w:r>
            <w:r>
              <w:rPr>
                <w:rFonts w:ascii="Times New Roman" w:eastAsia="宋体" w:hAnsi="Times New Roman"/>
                <w:b/>
                <w:bCs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>PegIFNα</w:t>
            </w:r>
            <w:r>
              <w:rPr>
                <w:rFonts w:ascii="Times New Roman" w:eastAsia="宋体" w:hAnsi="Times New Roman"/>
                <w:b/>
                <w:bCs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</w:rPr>
              <w:t>cohort</w:t>
            </w:r>
            <w:r>
              <w:rPr>
                <w:rFonts w:ascii="Times New Roman" w:eastAsia="宋体" w:hAnsi="Times New Roman"/>
                <w:b/>
                <w:bCs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</w:rPr>
              <w:t>1+2</w:t>
            </w:r>
          </w:p>
        </w:tc>
      </w:tr>
      <w:tr w:rsidR="00B06300" w:rsidRPr="002278AF" w:rsidTr="004F1F99">
        <w:trPr>
          <w:trHeight w:val="310"/>
        </w:trPr>
        <w:tc>
          <w:tcPr>
            <w:tcW w:w="311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>OR</w:t>
            </w:r>
            <w:r>
              <w:rPr>
                <w:rFonts w:ascii="Times New Roman" w:eastAsia="宋体" w:hAnsi="Times New Roman"/>
                <w:b/>
                <w:bCs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</w:rPr>
              <w:t>(95%</w:t>
            </w:r>
            <w:r>
              <w:rPr>
                <w:rFonts w:ascii="Times New Roman" w:eastAsia="宋体" w:hAnsi="Times New Roman"/>
                <w:b/>
                <w:bCs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</w:rPr>
              <w:t>CI)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  <w:b/>
                <w:bCs/>
                <w:i/>
                <w:iCs/>
              </w:rPr>
            </w:pPr>
            <w:r>
              <w:rPr>
                <w:rFonts w:ascii="Times New Roman" w:eastAsia="宋体" w:hAnsi="Times New Roman"/>
                <w:b/>
                <w:bCs/>
                <w:i/>
                <w:iCs/>
              </w:rPr>
              <w:t>p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>OR</w:t>
            </w:r>
            <w:r>
              <w:rPr>
                <w:rFonts w:ascii="Times New Roman" w:eastAsia="宋体" w:hAnsi="Times New Roman"/>
                <w:b/>
                <w:bCs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</w:rPr>
              <w:t>(95%</w:t>
            </w:r>
            <w:r>
              <w:rPr>
                <w:rFonts w:ascii="Times New Roman" w:eastAsia="宋体" w:hAnsi="Times New Roman"/>
                <w:b/>
                <w:bCs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</w:rPr>
              <w:t>CI)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  <w:b/>
                <w:bCs/>
                <w:i/>
                <w:iCs/>
              </w:rPr>
            </w:pPr>
            <w:r>
              <w:rPr>
                <w:rFonts w:ascii="Times New Roman" w:eastAsia="宋体" w:hAnsi="Times New Roman"/>
                <w:b/>
                <w:bCs/>
                <w:i/>
                <w:iCs/>
              </w:rPr>
              <w:t>p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>OR</w:t>
            </w:r>
            <w:r>
              <w:rPr>
                <w:rFonts w:ascii="Times New Roman" w:eastAsia="宋体" w:hAnsi="Times New Roman"/>
                <w:b/>
                <w:bCs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</w:rPr>
              <w:t>(95%</w:t>
            </w:r>
            <w:r>
              <w:rPr>
                <w:rFonts w:ascii="Times New Roman" w:eastAsia="宋体" w:hAnsi="Times New Roman"/>
                <w:b/>
                <w:bCs/>
              </w:rPr>
              <w:t xml:space="preserve"> </w:t>
            </w:r>
            <w:r w:rsidRPr="002278AF">
              <w:rPr>
                <w:rFonts w:ascii="Times New Roman" w:eastAsia="宋体" w:hAnsi="Times New Roman"/>
                <w:b/>
                <w:bCs/>
              </w:rPr>
              <w:t>CI)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  <w:b/>
                <w:bCs/>
                <w:i/>
                <w:iCs/>
              </w:rPr>
            </w:pPr>
            <w:r>
              <w:rPr>
                <w:rFonts w:ascii="Times New Roman" w:eastAsia="宋体" w:hAnsi="Times New Roman"/>
                <w:b/>
                <w:bCs/>
                <w:i/>
                <w:iCs/>
              </w:rPr>
              <w:t>p</w:t>
            </w:r>
          </w:p>
        </w:tc>
      </w:tr>
      <w:tr w:rsidR="00B06300" w:rsidRPr="002278AF" w:rsidTr="004F1F99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Trial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(PegIFNα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cohort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1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vs.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</w:tr>
      <w:tr w:rsidR="00B06300" w:rsidRPr="002278AF" w:rsidTr="004F1F99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 xml:space="preserve">Sex </w:t>
            </w:r>
            <w:r w:rsidRPr="002278AF">
              <w:rPr>
                <w:rFonts w:ascii="Times New Roman" w:eastAsia="宋体" w:hAnsi="Times New Roman"/>
              </w:rPr>
              <w:t>(Female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vs.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Male)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</w:tr>
      <w:tr w:rsidR="00B06300" w:rsidRPr="002278AF" w:rsidTr="004F1F99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Age,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years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</w:tr>
      <w:tr w:rsidR="00B06300" w:rsidRPr="002278AF" w:rsidTr="004F1F99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HBV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genotype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(B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vs.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7.06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(0.77-64.55)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0.08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2.81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(1.11-7.10)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0.03</w:t>
            </w:r>
          </w:p>
        </w:tc>
      </w:tr>
      <w:tr w:rsidR="00B06300" w:rsidRPr="002278AF" w:rsidTr="004F1F99">
        <w:trPr>
          <w:trHeight w:val="3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HBV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DNA</w:t>
            </w:r>
            <w:r w:rsidRPr="002278AF">
              <w:rPr>
                <w:rFonts w:ascii="Times New Roman" w:eastAsia="宋体" w:hAnsi="Times New Roman"/>
                <w:vertAlign w:val="superscript"/>
              </w:rPr>
              <w:t>#</w:t>
            </w:r>
            <w:r w:rsidRPr="002278AF">
              <w:rPr>
                <w:rFonts w:ascii="Times New Roman" w:eastAsia="宋体" w:hAnsi="Times New Roman"/>
              </w:rPr>
              <w:t>,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log</w:t>
            </w:r>
            <w:r w:rsidRPr="002278AF">
              <w:rPr>
                <w:rFonts w:ascii="Times New Roman" w:eastAsia="宋体" w:hAnsi="Times New Roman"/>
                <w:vertAlign w:val="subscript"/>
              </w:rPr>
              <w:t>10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IU/mL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</w:tr>
      <w:tr w:rsidR="00B06300" w:rsidRPr="002278AF" w:rsidTr="004F1F99">
        <w:trPr>
          <w:trHeight w:val="3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HBsAg</w:t>
            </w:r>
            <w:r w:rsidRPr="002278AF">
              <w:rPr>
                <w:rFonts w:ascii="Times New Roman" w:eastAsia="宋体" w:hAnsi="Times New Roman"/>
                <w:vertAlign w:val="superscript"/>
              </w:rPr>
              <w:t>#</w:t>
            </w:r>
            <w:r w:rsidRPr="002278AF">
              <w:rPr>
                <w:rFonts w:ascii="Times New Roman" w:eastAsia="宋体" w:hAnsi="Times New Roman"/>
              </w:rPr>
              <w:t>,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log</w:t>
            </w:r>
            <w:r w:rsidRPr="002278AF">
              <w:rPr>
                <w:rFonts w:ascii="Times New Roman" w:eastAsia="宋体" w:hAnsi="Times New Roman"/>
                <w:vertAlign w:val="subscript"/>
              </w:rPr>
              <w:t>10</w:t>
            </w:r>
            <w:r>
              <w:rPr>
                <w:rFonts w:ascii="Times New Roman" w:eastAsia="宋体" w:hAnsi="Times New Roman"/>
                <w:vertAlign w:val="subscript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IU/mL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</w:tr>
      <w:tr w:rsidR="00B06300" w:rsidRPr="002278AF" w:rsidTr="004F1F99">
        <w:trPr>
          <w:trHeight w:val="3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HBeAg</w:t>
            </w:r>
            <w:r w:rsidRPr="002278AF">
              <w:rPr>
                <w:rFonts w:ascii="Times New Roman" w:eastAsia="宋体" w:hAnsi="Times New Roman"/>
                <w:vertAlign w:val="superscript"/>
              </w:rPr>
              <w:t>#</w:t>
            </w:r>
            <w:r w:rsidRPr="002278AF">
              <w:rPr>
                <w:rFonts w:ascii="Times New Roman" w:eastAsia="宋体" w:hAnsi="Times New Roman"/>
              </w:rPr>
              <w:t>,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log</w:t>
            </w:r>
            <w:r w:rsidRPr="002278AF">
              <w:rPr>
                <w:rFonts w:ascii="Times New Roman" w:eastAsia="宋体" w:hAnsi="Times New Roman"/>
                <w:vertAlign w:val="subscript"/>
              </w:rPr>
              <w:t>10</w:t>
            </w:r>
            <w:r>
              <w:rPr>
                <w:rFonts w:ascii="Times New Roman" w:eastAsia="宋体" w:hAnsi="Times New Roman"/>
                <w:vertAlign w:val="subscript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PEIU/mL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</w:tr>
      <w:tr w:rsidR="00B06300" w:rsidRPr="002278AF" w:rsidTr="004F1F99">
        <w:trPr>
          <w:trHeight w:val="33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ALT</w:t>
            </w:r>
            <w:r w:rsidRPr="002278AF">
              <w:rPr>
                <w:rFonts w:ascii="Times New Roman" w:eastAsia="宋体" w:hAnsi="Times New Roman"/>
                <w:vertAlign w:val="superscript"/>
              </w:rPr>
              <w:t>#</w:t>
            </w:r>
            <w:r w:rsidRPr="002278AF">
              <w:rPr>
                <w:rFonts w:ascii="Times New Roman" w:eastAsia="宋体" w:hAnsi="Times New Roman"/>
              </w:rPr>
              <w:t>,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log</w:t>
            </w:r>
            <w:r w:rsidRPr="002278AF">
              <w:rPr>
                <w:rFonts w:ascii="Times New Roman" w:eastAsia="宋体" w:hAnsi="Times New Roman"/>
                <w:vertAlign w:val="subscript"/>
              </w:rPr>
              <w:t>e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×ULN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0.30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(0.09-1.06)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  <w:b/>
                <w:bCs/>
              </w:rPr>
            </w:pPr>
            <w:r w:rsidRPr="002278AF">
              <w:rPr>
                <w:rFonts w:ascii="Times New Roman" w:eastAsia="宋体" w:hAnsi="Times New Roman"/>
                <w:b/>
                <w:bCs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0.46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2278AF">
              <w:rPr>
                <w:rFonts w:ascii="Times New Roman" w:eastAsia="宋体" w:hAnsi="Times New Roman"/>
              </w:rPr>
              <w:t>(0.19-1.09)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2278AF" w:rsidRDefault="00B06300" w:rsidP="004F1F99">
            <w:pPr>
              <w:rPr>
                <w:rFonts w:ascii="Times New Roman" w:eastAsia="宋体" w:hAnsi="Times New Roman"/>
              </w:rPr>
            </w:pPr>
            <w:r w:rsidRPr="002278AF">
              <w:rPr>
                <w:rFonts w:ascii="Times New Roman" w:eastAsia="宋体" w:hAnsi="Times New Roman"/>
              </w:rPr>
              <w:t>0.08</w:t>
            </w:r>
          </w:p>
        </w:tc>
      </w:tr>
      <w:tr w:rsidR="00B06300" w:rsidRPr="002278AF" w:rsidTr="004F1F99">
        <w:trPr>
          <w:trHeight w:val="31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F5394C" w:rsidRDefault="00B06300" w:rsidP="004F1F99">
            <w:pPr>
              <w:rPr>
                <w:rFonts w:ascii="Times New Roman" w:eastAsia="宋体" w:hAnsi="Times New Roman"/>
              </w:rPr>
            </w:pPr>
            <w:r w:rsidRPr="00F5394C">
              <w:rPr>
                <w:rFonts w:ascii="Times New Roman" w:eastAsia="宋体" w:hAnsi="Times New Roman"/>
              </w:rPr>
              <w:t>PGS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F5394C" w:rsidRDefault="00B06300" w:rsidP="004F1F99">
            <w:pPr>
              <w:rPr>
                <w:rFonts w:ascii="Times New Roman" w:eastAsia="宋体" w:hAnsi="Times New Roman"/>
              </w:rPr>
            </w:pPr>
            <w:r w:rsidRPr="00F5394C">
              <w:rPr>
                <w:rFonts w:ascii="Times New Roman" w:eastAsia="宋体" w:hAnsi="Times New Roma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F5394C" w:rsidRDefault="00B06300" w:rsidP="004F1F99">
            <w:pPr>
              <w:rPr>
                <w:rFonts w:ascii="Times New Roman" w:eastAsia="宋体" w:hAnsi="Times New Roman"/>
              </w:rPr>
            </w:pPr>
            <w:r w:rsidRPr="00F5394C">
              <w:rPr>
                <w:rFonts w:ascii="Times New Roman" w:eastAsia="宋体" w:hAnsi="Times New Roman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F5394C" w:rsidRDefault="00B06300" w:rsidP="004F1F99">
            <w:pPr>
              <w:rPr>
                <w:rFonts w:ascii="Times New Roman" w:eastAsia="宋体" w:hAnsi="Times New Roman"/>
              </w:rPr>
            </w:pPr>
            <w:r w:rsidRPr="00F5394C">
              <w:rPr>
                <w:rFonts w:ascii="Times New Roman" w:eastAsia="宋体" w:hAnsi="Times New Roman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F5394C" w:rsidRDefault="00B06300" w:rsidP="004F1F99">
            <w:pPr>
              <w:rPr>
                <w:rFonts w:ascii="Times New Roman" w:eastAsia="宋体" w:hAnsi="Times New Roman"/>
              </w:rPr>
            </w:pPr>
            <w:r w:rsidRPr="00F5394C">
              <w:rPr>
                <w:rFonts w:ascii="Times New Roman" w:eastAsia="宋体" w:hAnsi="Times New Roman"/>
              </w:rPr>
              <w:t>2.09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F5394C">
              <w:rPr>
                <w:rFonts w:ascii="Times New Roman" w:eastAsia="宋体" w:hAnsi="Times New Roman"/>
              </w:rPr>
              <w:t>(1.13-3.89)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F5394C" w:rsidRDefault="00B06300" w:rsidP="004F1F99">
            <w:pPr>
              <w:rPr>
                <w:rFonts w:ascii="Times New Roman" w:eastAsia="宋体" w:hAnsi="Times New Roman"/>
              </w:rPr>
            </w:pPr>
            <w:r w:rsidRPr="00F5394C">
              <w:rPr>
                <w:rFonts w:ascii="Times New Roman" w:eastAsia="宋体" w:hAnsi="Times New Roman"/>
              </w:rPr>
              <w:t>0.02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F5394C" w:rsidRDefault="00B06300" w:rsidP="004F1F99">
            <w:pPr>
              <w:rPr>
                <w:rFonts w:ascii="Times New Roman" w:eastAsia="宋体" w:hAnsi="Times New Roman"/>
              </w:rPr>
            </w:pPr>
            <w:r w:rsidRPr="00F5394C">
              <w:rPr>
                <w:rFonts w:ascii="Times New Roman" w:eastAsia="宋体" w:hAnsi="Times New Roman"/>
              </w:rPr>
              <w:t xml:space="preserve"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F5394C" w:rsidRDefault="00B06300" w:rsidP="004F1F99">
            <w:pPr>
              <w:rPr>
                <w:rFonts w:ascii="Times New Roman" w:eastAsia="宋体" w:hAnsi="Times New Roman"/>
              </w:rPr>
            </w:pPr>
            <w:r w:rsidRPr="00F5394C">
              <w:rPr>
                <w:rFonts w:ascii="Times New Roman" w:eastAsia="宋体" w:hAnsi="Times New Roman"/>
              </w:rPr>
              <w:t>1.86</w:t>
            </w:r>
            <w:r>
              <w:rPr>
                <w:rFonts w:ascii="Times New Roman" w:eastAsia="宋体" w:hAnsi="Times New Roman"/>
              </w:rPr>
              <w:t xml:space="preserve"> </w:t>
            </w:r>
            <w:r w:rsidRPr="00F5394C">
              <w:rPr>
                <w:rFonts w:ascii="Times New Roman" w:eastAsia="宋体" w:hAnsi="Times New Roman"/>
              </w:rPr>
              <w:t>(1.11-3.14)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6300" w:rsidRPr="00F5394C" w:rsidRDefault="00B06300" w:rsidP="004F1F99">
            <w:pPr>
              <w:rPr>
                <w:rFonts w:ascii="Times New Roman" w:eastAsia="宋体" w:hAnsi="Times New Roman"/>
              </w:rPr>
            </w:pPr>
            <w:r w:rsidRPr="00F5394C">
              <w:rPr>
                <w:rFonts w:ascii="Times New Roman" w:eastAsia="宋体" w:hAnsi="Times New Roman"/>
              </w:rPr>
              <w:t>0.02</w:t>
            </w:r>
          </w:p>
        </w:tc>
      </w:tr>
    </w:tbl>
    <w:p w:rsidR="00B06300" w:rsidRPr="002278AF" w:rsidRDefault="00B06300" w:rsidP="00B06300">
      <w:pPr>
        <w:spacing w:line="480" w:lineRule="auto"/>
        <w:rPr>
          <w:rFonts w:ascii="Times New Roman" w:hAnsi="Times New Roman"/>
          <w:sz w:val="24"/>
          <w:szCs w:val="24"/>
        </w:rPr>
      </w:pPr>
      <w:r w:rsidRPr="002278AF">
        <w:rPr>
          <w:rFonts w:ascii="Times New Roman" w:hAnsi="Times New Roman"/>
          <w:sz w:val="24"/>
          <w:szCs w:val="24"/>
        </w:rPr>
        <w:t>PGS,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polygenic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score;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HBsAg,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hepatitis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surface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antigen;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PegIFNα,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pegylated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interferon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alpha;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OR,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odds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ratio;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CI,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confidence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interval;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HBV,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hepatitis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virus;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HBeAg,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hepatitis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antigen;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ALT,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alanine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aminotransferase;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ULN,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upper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limit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normal.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eastAsia="宋体" w:hAnsi="Times New Roman"/>
          <w:vertAlign w:val="superscript"/>
        </w:rPr>
        <w:t>#</w:t>
      </w:r>
      <w:r w:rsidRPr="002278AF">
        <w:rPr>
          <w:rFonts w:ascii="Times New Roman" w:hAnsi="Times New Roman"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78AF">
        <w:rPr>
          <w:rFonts w:ascii="Times New Roman" w:hAnsi="Times New Roman"/>
          <w:sz w:val="24"/>
          <w:szCs w:val="24"/>
        </w:rPr>
        <w:t>level.</w:t>
      </w:r>
    </w:p>
    <w:p w:rsidR="000D0318" w:rsidRDefault="000D0318"/>
    <w:sectPr w:rsidR="000D0318" w:rsidSect="00A74D91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FELayout/>
  </w:compat>
  <w:rsids>
    <w:rsidRoot w:val="00B06300"/>
    <w:rsid w:val="000D0318"/>
    <w:rsid w:val="008F3ABA"/>
    <w:rsid w:val="00A74D91"/>
    <w:rsid w:val="00B0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2022-05-27T06:46:00Z</dcterms:created>
  <dcterms:modified xsi:type="dcterms:W3CDTF">2022-05-27T06:47:00Z</dcterms:modified>
</cp:coreProperties>
</file>