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8090" w14:textId="06B1F089" w:rsidR="00812312" w:rsidRPr="008E2A5F" w:rsidRDefault="00812312" w:rsidP="00812312">
      <w:pPr>
        <w:pStyle w:val="2"/>
        <w:adjustRightInd w:val="0"/>
        <w:snapToGrid w:val="0"/>
        <w:spacing w:beforeLines="0" w:afterLines="0"/>
        <w:rPr>
          <w:sz w:val="24"/>
          <w:lang w:val="en-US"/>
        </w:rPr>
      </w:pPr>
      <w:bookmarkStart w:id="0" w:name="_Toc117794892"/>
      <w:r>
        <w:rPr>
          <w:i w:val="0"/>
          <w:iCs w:val="0"/>
          <w:sz w:val="24"/>
          <w:lang w:val="en-US"/>
        </w:rPr>
        <w:t xml:space="preserve">Supplementary </w:t>
      </w:r>
      <w:r w:rsidRPr="008E2A5F">
        <w:rPr>
          <w:i w:val="0"/>
          <w:iCs w:val="0"/>
          <w:sz w:val="24"/>
          <w:lang w:val="en-US"/>
        </w:rPr>
        <w:t>Table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4.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Dynamics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of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serum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HBsAg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levels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at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week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96</w:t>
      </w:r>
      <w:bookmarkEnd w:id="0"/>
    </w:p>
    <w:tbl>
      <w:tblPr>
        <w:tblW w:w="12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2268"/>
        <w:gridCol w:w="2126"/>
        <w:gridCol w:w="1970"/>
        <w:gridCol w:w="36"/>
      </w:tblGrid>
      <w:tr w:rsidR="00812312" w:rsidRPr="006C7F64" w14:paraId="034E5B1F" w14:textId="77777777" w:rsidTr="008D00B2">
        <w:trPr>
          <w:gridAfter w:val="1"/>
          <w:trHeight w:val="159"/>
        </w:trPr>
        <w:tc>
          <w:tcPr>
            <w:tcW w:w="411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5446DCB1" w14:textId="77777777" w:rsidR="00812312" w:rsidRPr="006C7F64" w:rsidRDefault="00812312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</w:tcBorders>
            <w:hideMark/>
          </w:tcPr>
          <w:p w14:paraId="3D8D5DF9" w14:textId="77777777" w:rsidR="00812312" w:rsidRPr="008E2A5F" w:rsidRDefault="00812312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HBeAg-positive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patients</w:t>
            </w:r>
          </w:p>
        </w:tc>
        <w:tc>
          <w:tcPr>
            <w:tcW w:w="4096" w:type="dxa"/>
            <w:gridSpan w:val="2"/>
            <w:tcBorders>
              <w:top w:val="single" w:sz="12" w:space="0" w:color="000000"/>
            </w:tcBorders>
            <w:hideMark/>
          </w:tcPr>
          <w:p w14:paraId="735AF3F8" w14:textId="77777777" w:rsidR="00812312" w:rsidRPr="008E2A5F" w:rsidRDefault="00812312" w:rsidP="008D00B2">
            <w:pPr>
              <w:adjustRightInd w:val="0"/>
              <w:snapToGrid w:val="0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HBeAg-negative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patients</w:t>
            </w:r>
          </w:p>
        </w:tc>
      </w:tr>
      <w:tr w:rsidR="00812312" w:rsidRPr="006C7F64" w14:paraId="173E6C4F" w14:textId="77777777" w:rsidTr="008D00B2">
        <w:trPr>
          <w:gridAfter w:val="1"/>
          <w:trHeight w:val="159"/>
        </w:trPr>
        <w:tc>
          <w:tcPr>
            <w:tcW w:w="411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700A68A2" w14:textId="77777777" w:rsidR="00812312" w:rsidRPr="006C7F64" w:rsidRDefault="00812312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2410" w:type="dxa"/>
            <w:hideMark/>
          </w:tcPr>
          <w:p w14:paraId="5A5D0DC8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TMF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25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mg</w:t>
            </w:r>
          </w:p>
        </w:tc>
        <w:tc>
          <w:tcPr>
            <w:tcW w:w="2268" w:type="dxa"/>
            <w:hideMark/>
          </w:tcPr>
          <w:p w14:paraId="3EE69709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TDF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300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mg</w:t>
            </w:r>
          </w:p>
        </w:tc>
        <w:tc>
          <w:tcPr>
            <w:tcW w:w="2126" w:type="dxa"/>
            <w:hideMark/>
          </w:tcPr>
          <w:p w14:paraId="2F3D04E5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TMF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25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mg</w:t>
            </w:r>
          </w:p>
        </w:tc>
        <w:tc>
          <w:tcPr>
            <w:tcW w:w="1970" w:type="dxa"/>
            <w:hideMark/>
          </w:tcPr>
          <w:p w14:paraId="52F189C0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TDF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300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mg</w:t>
            </w:r>
          </w:p>
        </w:tc>
      </w:tr>
      <w:tr w:rsidR="00812312" w:rsidRPr="006C7F64" w14:paraId="3E71DAE7" w14:textId="77777777" w:rsidTr="008D00B2">
        <w:trPr>
          <w:gridAfter w:val="1"/>
          <w:trHeight w:val="159"/>
        </w:trPr>
        <w:tc>
          <w:tcPr>
            <w:tcW w:w="411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50CDD935" w14:textId="77777777" w:rsidR="00812312" w:rsidRPr="006C7F64" w:rsidRDefault="00812312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hideMark/>
          </w:tcPr>
          <w:p w14:paraId="04129D2D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(</w:t>
            </w:r>
            <w:r w:rsidRPr="008E2A5F">
              <w:rPr>
                <w:rFonts w:cs="Times New Roman"/>
                <w:b/>
                <w:bCs/>
                <w:i/>
                <w:iCs/>
                <w:sz w:val="24"/>
              </w:rPr>
              <w:t>n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=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486)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hideMark/>
          </w:tcPr>
          <w:p w14:paraId="59246F6F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(</w:t>
            </w:r>
            <w:r w:rsidRPr="008E2A5F">
              <w:rPr>
                <w:rFonts w:cs="Times New Roman"/>
                <w:b/>
                <w:bCs/>
                <w:i/>
                <w:iCs/>
                <w:sz w:val="24"/>
              </w:rPr>
              <w:t>n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=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246)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hideMark/>
          </w:tcPr>
          <w:p w14:paraId="65D3D5FB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(</w:t>
            </w:r>
            <w:r w:rsidRPr="008E2A5F">
              <w:rPr>
                <w:rFonts w:cs="Times New Roman"/>
                <w:b/>
                <w:bCs/>
                <w:i/>
                <w:iCs/>
                <w:sz w:val="24"/>
              </w:rPr>
              <w:t>n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=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180)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  <w:hideMark/>
          </w:tcPr>
          <w:p w14:paraId="0AC4E42A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8E2A5F">
              <w:rPr>
                <w:rFonts w:cs="Times New Roman"/>
                <w:b/>
                <w:bCs/>
                <w:sz w:val="24"/>
              </w:rPr>
              <w:t>(</w:t>
            </w:r>
            <w:r w:rsidRPr="008E2A5F">
              <w:rPr>
                <w:rFonts w:cs="Times New Roman"/>
                <w:b/>
                <w:bCs/>
                <w:i/>
                <w:iCs/>
                <w:sz w:val="24"/>
              </w:rPr>
              <w:t>n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=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cs="Times New Roman"/>
                <w:b/>
                <w:bCs/>
                <w:sz w:val="24"/>
              </w:rPr>
              <w:t>90)</w:t>
            </w:r>
          </w:p>
        </w:tc>
      </w:tr>
      <w:tr w:rsidR="00812312" w:rsidRPr="006C7F64" w14:paraId="73AB2D70" w14:textId="77777777" w:rsidTr="008D00B2">
        <w:trPr>
          <w:gridAfter w:val="1"/>
          <w:trHeight w:val="275"/>
        </w:trPr>
        <w:tc>
          <w:tcPr>
            <w:tcW w:w="4111" w:type="dxa"/>
            <w:vAlign w:val="center"/>
            <w:hideMark/>
          </w:tcPr>
          <w:p w14:paraId="30E799E0" w14:textId="77777777" w:rsidR="00812312" w:rsidRPr="008E2A5F" w:rsidRDefault="00812312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Mean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HBsAg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change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from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baseline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(SD)</w:t>
            </w:r>
          </w:p>
        </w:tc>
        <w:tc>
          <w:tcPr>
            <w:tcW w:w="2410" w:type="dxa"/>
            <w:vAlign w:val="center"/>
            <w:hideMark/>
          </w:tcPr>
          <w:p w14:paraId="4006E491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−0.28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(0.926)</w:t>
            </w:r>
          </w:p>
        </w:tc>
        <w:tc>
          <w:tcPr>
            <w:tcW w:w="2268" w:type="dxa"/>
            <w:vAlign w:val="center"/>
            <w:hideMark/>
          </w:tcPr>
          <w:p w14:paraId="637B5F5F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−0.30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(0.892)</w:t>
            </w:r>
          </w:p>
        </w:tc>
        <w:tc>
          <w:tcPr>
            <w:tcW w:w="2126" w:type="dxa"/>
            <w:vAlign w:val="center"/>
            <w:hideMark/>
          </w:tcPr>
          <w:p w14:paraId="0F06B168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−0.43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(0.749)</w:t>
            </w:r>
          </w:p>
        </w:tc>
        <w:tc>
          <w:tcPr>
            <w:tcW w:w="1970" w:type="dxa"/>
            <w:vAlign w:val="center"/>
            <w:hideMark/>
          </w:tcPr>
          <w:p w14:paraId="0ED099DB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−0.34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(0.372)</w:t>
            </w:r>
          </w:p>
        </w:tc>
      </w:tr>
      <w:tr w:rsidR="00812312" w:rsidRPr="006C7F64" w14:paraId="3BFF025E" w14:textId="77777777" w:rsidTr="008D00B2">
        <w:trPr>
          <w:gridAfter w:val="1"/>
          <w:trHeight w:val="217"/>
        </w:trPr>
        <w:tc>
          <w:tcPr>
            <w:tcW w:w="4111" w:type="dxa"/>
            <w:vAlign w:val="center"/>
            <w:hideMark/>
          </w:tcPr>
          <w:p w14:paraId="08FB1B73" w14:textId="77777777" w:rsidR="00812312" w:rsidRPr="008E2A5F" w:rsidRDefault="00812312" w:rsidP="008D00B2">
            <w:pPr>
              <w:adjustRightInd w:val="0"/>
              <w:snapToGrid w:val="0"/>
              <w:ind w:firstLineChars="200" w:firstLine="48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Intragroup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p</w:t>
            </w:r>
            <w:r w:rsidRPr="008E2A5F">
              <w:rPr>
                <w:rStyle w:val="font01"/>
                <w:rFonts w:ascii="Times New Roman" w:hAnsi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2410" w:type="dxa"/>
            <w:vAlign w:val="center"/>
            <w:hideMark/>
          </w:tcPr>
          <w:p w14:paraId="2458C4B3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&lt;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0.001</w:t>
            </w:r>
          </w:p>
        </w:tc>
        <w:tc>
          <w:tcPr>
            <w:tcW w:w="2268" w:type="dxa"/>
            <w:vAlign w:val="center"/>
            <w:hideMark/>
          </w:tcPr>
          <w:p w14:paraId="7C7ECA29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&lt;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0.001</w:t>
            </w:r>
          </w:p>
        </w:tc>
        <w:tc>
          <w:tcPr>
            <w:tcW w:w="2126" w:type="dxa"/>
            <w:vAlign w:val="center"/>
            <w:hideMark/>
          </w:tcPr>
          <w:p w14:paraId="271E7D82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&lt;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0.001</w:t>
            </w:r>
          </w:p>
        </w:tc>
        <w:tc>
          <w:tcPr>
            <w:tcW w:w="1970" w:type="dxa"/>
            <w:vAlign w:val="center"/>
            <w:hideMark/>
          </w:tcPr>
          <w:p w14:paraId="57C1AC62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&lt;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0.001</w:t>
            </w:r>
          </w:p>
        </w:tc>
      </w:tr>
      <w:tr w:rsidR="00812312" w:rsidRPr="006C7F64" w14:paraId="2595B8D3" w14:textId="77777777" w:rsidTr="008D00B2">
        <w:trPr>
          <w:gridAfter w:val="1"/>
          <w:trHeight w:val="217"/>
        </w:trPr>
        <w:tc>
          <w:tcPr>
            <w:tcW w:w="4111" w:type="dxa"/>
            <w:vAlign w:val="center"/>
            <w:hideMark/>
          </w:tcPr>
          <w:p w14:paraId="410AB706" w14:textId="77777777" w:rsidR="00812312" w:rsidRPr="008E2A5F" w:rsidRDefault="00812312" w:rsidP="008D00B2">
            <w:pPr>
              <w:adjustRightInd w:val="0"/>
              <w:snapToGrid w:val="0"/>
              <w:ind w:firstLineChars="200" w:firstLine="48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Intergroup</w:t>
            </w:r>
            <w:r>
              <w:rPr>
                <w:rFonts w:cs="Times New Roman"/>
                <w:i/>
                <w:iCs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p</w:t>
            </w:r>
            <w:r w:rsidRPr="008E2A5F">
              <w:rPr>
                <w:rStyle w:val="font01"/>
                <w:rFonts w:ascii="Times New Roman" w:hAnsi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4678" w:type="dxa"/>
            <w:gridSpan w:val="2"/>
            <w:vAlign w:val="center"/>
            <w:hideMark/>
          </w:tcPr>
          <w:p w14:paraId="531C4A14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0.782</w:t>
            </w:r>
          </w:p>
        </w:tc>
        <w:tc>
          <w:tcPr>
            <w:tcW w:w="4096" w:type="dxa"/>
            <w:gridSpan w:val="2"/>
            <w:vAlign w:val="center"/>
            <w:hideMark/>
          </w:tcPr>
          <w:p w14:paraId="7F52C67D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0.387</w:t>
            </w:r>
          </w:p>
        </w:tc>
      </w:tr>
      <w:tr w:rsidR="00812312" w:rsidRPr="006C7F64" w14:paraId="5CAAAE26" w14:textId="77777777" w:rsidTr="008D00B2">
        <w:trPr>
          <w:gridAfter w:val="1"/>
          <w:trHeight w:val="217"/>
        </w:trPr>
        <w:tc>
          <w:tcPr>
            <w:tcW w:w="4111" w:type="dxa"/>
            <w:vAlign w:val="center"/>
            <w:hideMark/>
          </w:tcPr>
          <w:p w14:paraId="7BE0439A" w14:textId="77777777" w:rsidR="00812312" w:rsidRPr="008E2A5F" w:rsidRDefault="00812312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Mean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HBsAg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change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from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week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48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(SD)</w:t>
            </w:r>
          </w:p>
        </w:tc>
        <w:tc>
          <w:tcPr>
            <w:tcW w:w="2410" w:type="dxa"/>
            <w:vAlign w:val="center"/>
            <w:hideMark/>
          </w:tcPr>
          <w:p w14:paraId="658E59B0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0.04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(0.585)</w:t>
            </w:r>
          </w:p>
        </w:tc>
        <w:tc>
          <w:tcPr>
            <w:tcW w:w="2268" w:type="dxa"/>
            <w:vAlign w:val="center"/>
            <w:hideMark/>
          </w:tcPr>
          <w:p w14:paraId="2113A0C3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0.03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(0.553)</w:t>
            </w:r>
          </w:p>
        </w:tc>
        <w:tc>
          <w:tcPr>
            <w:tcW w:w="2126" w:type="dxa"/>
            <w:vAlign w:val="center"/>
            <w:hideMark/>
          </w:tcPr>
          <w:p w14:paraId="090B1AEE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−0.11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(0.454)</w:t>
            </w:r>
          </w:p>
        </w:tc>
        <w:tc>
          <w:tcPr>
            <w:tcW w:w="1970" w:type="dxa"/>
            <w:vAlign w:val="center"/>
            <w:hideMark/>
          </w:tcPr>
          <w:p w14:paraId="0A14D7E2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−0.08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(0.112)</w:t>
            </w:r>
          </w:p>
        </w:tc>
      </w:tr>
      <w:tr w:rsidR="00812312" w:rsidRPr="006C7F64" w14:paraId="164DE5F2" w14:textId="77777777" w:rsidTr="008D00B2">
        <w:trPr>
          <w:gridAfter w:val="1"/>
          <w:trHeight w:val="217"/>
        </w:trPr>
        <w:tc>
          <w:tcPr>
            <w:tcW w:w="4111" w:type="dxa"/>
            <w:vAlign w:val="center"/>
            <w:hideMark/>
          </w:tcPr>
          <w:p w14:paraId="1AE7D8B9" w14:textId="77777777" w:rsidR="00812312" w:rsidRPr="008E2A5F" w:rsidRDefault="00812312" w:rsidP="008D00B2">
            <w:pPr>
              <w:adjustRightInd w:val="0"/>
              <w:snapToGrid w:val="0"/>
              <w:ind w:firstLineChars="200" w:firstLine="48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Intragroup</w:t>
            </w:r>
            <w:r>
              <w:rPr>
                <w:rFonts w:cs="Times New Roman"/>
                <w:i/>
                <w:iCs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p</w:t>
            </w:r>
            <w:r w:rsidRPr="008E2A5F">
              <w:rPr>
                <w:rStyle w:val="font01"/>
                <w:rFonts w:ascii="Times New Roman" w:hAnsi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2410" w:type="dxa"/>
            <w:vAlign w:val="center"/>
            <w:hideMark/>
          </w:tcPr>
          <w:p w14:paraId="4B7200C8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0.118</w:t>
            </w:r>
          </w:p>
        </w:tc>
        <w:tc>
          <w:tcPr>
            <w:tcW w:w="2268" w:type="dxa"/>
            <w:vAlign w:val="center"/>
            <w:hideMark/>
          </w:tcPr>
          <w:p w14:paraId="6F94CEBF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0.367</w:t>
            </w:r>
          </w:p>
        </w:tc>
        <w:tc>
          <w:tcPr>
            <w:tcW w:w="2126" w:type="dxa"/>
            <w:vAlign w:val="center"/>
            <w:hideMark/>
          </w:tcPr>
          <w:p w14:paraId="3ACC6A47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0.001</w:t>
            </w:r>
          </w:p>
        </w:tc>
        <w:tc>
          <w:tcPr>
            <w:tcW w:w="1970" w:type="dxa"/>
            <w:vAlign w:val="center"/>
            <w:hideMark/>
          </w:tcPr>
          <w:p w14:paraId="4F15E70E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&lt;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0.001</w:t>
            </w:r>
          </w:p>
        </w:tc>
      </w:tr>
      <w:tr w:rsidR="00812312" w:rsidRPr="006C7F64" w14:paraId="5B8ADCAB" w14:textId="77777777" w:rsidTr="008D00B2">
        <w:trPr>
          <w:gridAfter w:val="1"/>
          <w:trHeight w:val="217"/>
        </w:trPr>
        <w:tc>
          <w:tcPr>
            <w:tcW w:w="4111" w:type="dxa"/>
            <w:vAlign w:val="center"/>
            <w:hideMark/>
          </w:tcPr>
          <w:p w14:paraId="457B30EE" w14:textId="77777777" w:rsidR="00812312" w:rsidRPr="008E2A5F" w:rsidRDefault="00812312" w:rsidP="008D00B2">
            <w:pPr>
              <w:adjustRightInd w:val="0"/>
              <w:snapToGrid w:val="0"/>
              <w:ind w:firstLineChars="200" w:firstLine="48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Intergroup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p</w:t>
            </w:r>
            <w:r w:rsidRPr="008E2A5F">
              <w:rPr>
                <w:rStyle w:val="font01"/>
                <w:rFonts w:ascii="Times New Roman" w:hAnsi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4678" w:type="dxa"/>
            <w:gridSpan w:val="2"/>
            <w:vAlign w:val="center"/>
            <w:hideMark/>
          </w:tcPr>
          <w:p w14:paraId="22110742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0.816</w:t>
            </w:r>
          </w:p>
        </w:tc>
        <w:tc>
          <w:tcPr>
            <w:tcW w:w="4096" w:type="dxa"/>
            <w:gridSpan w:val="2"/>
            <w:vAlign w:val="center"/>
            <w:hideMark/>
          </w:tcPr>
          <w:p w14:paraId="02503EEE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0.569</w:t>
            </w:r>
          </w:p>
        </w:tc>
      </w:tr>
      <w:tr w:rsidR="00812312" w:rsidRPr="006C7F64" w14:paraId="74981242" w14:textId="77777777" w:rsidTr="008D00B2">
        <w:trPr>
          <w:gridAfter w:val="1"/>
          <w:trHeight w:val="275"/>
        </w:trPr>
        <w:tc>
          <w:tcPr>
            <w:tcW w:w="4111" w:type="dxa"/>
            <w:vAlign w:val="center"/>
            <w:hideMark/>
          </w:tcPr>
          <w:p w14:paraId="79406C67" w14:textId="77777777" w:rsidR="00812312" w:rsidRPr="008E2A5F" w:rsidRDefault="00812312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Percentage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of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patients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with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HBsAg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decline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≥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0.5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log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(%)</w:t>
            </w:r>
          </w:p>
        </w:tc>
        <w:tc>
          <w:tcPr>
            <w:tcW w:w="2410" w:type="dxa"/>
            <w:vAlign w:val="center"/>
            <w:hideMark/>
          </w:tcPr>
          <w:p w14:paraId="378BABEC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34.8%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(151/434)</w:t>
            </w:r>
          </w:p>
        </w:tc>
        <w:tc>
          <w:tcPr>
            <w:tcW w:w="2268" w:type="dxa"/>
            <w:vAlign w:val="center"/>
            <w:hideMark/>
          </w:tcPr>
          <w:p w14:paraId="044F43FF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35.3%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(77/218)</w:t>
            </w:r>
          </w:p>
        </w:tc>
        <w:tc>
          <w:tcPr>
            <w:tcW w:w="2126" w:type="dxa"/>
            <w:vAlign w:val="center"/>
            <w:hideMark/>
          </w:tcPr>
          <w:p w14:paraId="6FF03725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22.7%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(39/172)</w:t>
            </w:r>
          </w:p>
        </w:tc>
        <w:tc>
          <w:tcPr>
            <w:tcW w:w="1970" w:type="dxa"/>
            <w:vAlign w:val="center"/>
            <w:hideMark/>
          </w:tcPr>
          <w:p w14:paraId="6D807868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20.0%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(16/80)</w:t>
            </w:r>
          </w:p>
        </w:tc>
      </w:tr>
      <w:tr w:rsidR="00812312" w:rsidRPr="006C7F64" w14:paraId="45ADB0FF" w14:textId="77777777" w:rsidTr="008D00B2">
        <w:trPr>
          <w:gridAfter w:val="1"/>
          <w:trHeight w:val="217"/>
        </w:trPr>
        <w:tc>
          <w:tcPr>
            <w:tcW w:w="4111" w:type="dxa"/>
            <w:vAlign w:val="center"/>
            <w:hideMark/>
          </w:tcPr>
          <w:p w14:paraId="09015E26" w14:textId="77777777" w:rsidR="00812312" w:rsidRPr="008E2A5F" w:rsidRDefault="00812312" w:rsidP="008D00B2">
            <w:pPr>
              <w:adjustRightInd w:val="0"/>
              <w:snapToGrid w:val="0"/>
              <w:ind w:leftChars="200" w:left="44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Intergroup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p</w:t>
            </w:r>
            <w:r w:rsidRPr="008E2A5F">
              <w:rPr>
                <w:rStyle w:val="font01"/>
                <w:rFonts w:ascii="Times New Roman" w:hAnsi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4678" w:type="dxa"/>
            <w:gridSpan w:val="2"/>
            <w:vAlign w:val="center"/>
            <w:hideMark/>
          </w:tcPr>
          <w:p w14:paraId="14858823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0.875</w:t>
            </w:r>
          </w:p>
        </w:tc>
        <w:tc>
          <w:tcPr>
            <w:tcW w:w="4096" w:type="dxa"/>
            <w:gridSpan w:val="2"/>
            <w:vAlign w:val="center"/>
            <w:hideMark/>
          </w:tcPr>
          <w:p w14:paraId="61C46042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0.799</w:t>
            </w:r>
          </w:p>
        </w:tc>
      </w:tr>
      <w:tr w:rsidR="00812312" w:rsidRPr="006C7F64" w14:paraId="285674AA" w14:textId="77777777" w:rsidTr="008D00B2">
        <w:trPr>
          <w:gridAfter w:val="1"/>
          <w:trHeight w:val="275"/>
        </w:trPr>
        <w:tc>
          <w:tcPr>
            <w:tcW w:w="4111" w:type="dxa"/>
            <w:vAlign w:val="center"/>
            <w:hideMark/>
          </w:tcPr>
          <w:p w14:paraId="336C0B7E" w14:textId="77777777" w:rsidR="00812312" w:rsidRPr="008E2A5F" w:rsidRDefault="00812312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Percentage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of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patients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with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HBsAg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decline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≥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1.0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log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(%)</w:t>
            </w:r>
          </w:p>
        </w:tc>
        <w:tc>
          <w:tcPr>
            <w:tcW w:w="2410" w:type="dxa"/>
            <w:vAlign w:val="center"/>
            <w:hideMark/>
          </w:tcPr>
          <w:p w14:paraId="5301A6FB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18.4%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(80/434)</w:t>
            </w:r>
          </w:p>
        </w:tc>
        <w:tc>
          <w:tcPr>
            <w:tcW w:w="2268" w:type="dxa"/>
            <w:vAlign w:val="center"/>
            <w:hideMark/>
          </w:tcPr>
          <w:p w14:paraId="016FCC98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13.3%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(29/218)</w:t>
            </w:r>
          </w:p>
        </w:tc>
        <w:tc>
          <w:tcPr>
            <w:tcW w:w="2126" w:type="dxa"/>
            <w:vAlign w:val="center"/>
            <w:hideMark/>
          </w:tcPr>
          <w:p w14:paraId="39089BCA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9.9%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(17/172)</w:t>
            </w:r>
          </w:p>
        </w:tc>
        <w:tc>
          <w:tcPr>
            <w:tcW w:w="1970" w:type="dxa"/>
            <w:vAlign w:val="center"/>
            <w:hideMark/>
          </w:tcPr>
          <w:p w14:paraId="1A4D738C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8.8%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(7/80)</w:t>
            </w:r>
          </w:p>
        </w:tc>
      </w:tr>
      <w:tr w:rsidR="00812312" w:rsidRPr="006C7F64" w14:paraId="02382198" w14:textId="77777777" w:rsidTr="008D00B2">
        <w:trPr>
          <w:gridAfter w:val="1"/>
          <w:trHeight w:val="159"/>
        </w:trPr>
        <w:tc>
          <w:tcPr>
            <w:tcW w:w="4111" w:type="dxa"/>
            <w:tcBorders>
              <w:bottom w:val="single" w:sz="12" w:space="0" w:color="000000"/>
            </w:tcBorders>
            <w:vAlign w:val="center"/>
            <w:hideMark/>
          </w:tcPr>
          <w:p w14:paraId="17C65715" w14:textId="77777777" w:rsidR="00812312" w:rsidRPr="008E2A5F" w:rsidRDefault="00812312" w:rsidP="008D00B2">
            <w:pPr>
              <w:adjustRightInd w:val="0"/>
              <w:snapToGrid w:val="0"/>
              <w:ind w:leftChars="200" w:left="44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lastRenderedPageBreak/>
              <w:t>Intergroup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p</w:t>
            </w:r>
            <w:r w:rsidRPr="008E2A5F">
              <w:rPr>
                <w:rStyle w:val="font01"/>
                <w:rFonts w:ascii="Times New Roman" w:hAnsi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2F077262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0.104</w:t>
            </w:r>
          </w:p>
        </w:tc>
        <w:tc>
          <w:tcPr>
            <w:tcW w:w="4096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4BBBE474" w14:textId="77777777" w:rsidR="00812312" w:rsidRPr="008E2A5F" w:rsidRDefault="00812312" w:rsidP="008D00B2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0.995</w:t>
            </w:r>
          </w:p>
        </w:tc>
      </w:tr>
      <w:tr w:rsidR="00812312" w:rsidRPr="006C7F64" w14:paraId="058D9C43" w14:textId="77777777" w:rsidTr="008D00B2">
        <w:trPr>
          <w:gridAfter w:val="1"/>
          <w:trHeight w:val="570"/>
        </w:trPr>
        <w:tc>
          <w:tcPr>
            <w:tcW w:w="12885" w:type="dxa"/>
            <w:gridSpan w:val="5"/>
            <w:vMerge w:val="restart"/>
            <w:hideMark/>
          </w:tcPr>
          <w:p w14:paraId="3E6D6377" w14:textId="77777777" w:rsidR="00812312" w:rsidRPr="008E2A5F" w:rsidRDefault="00812312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Data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are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n</w:t>
            </w:r>
            <w:r w:rsidRPr="008E2A5F">
              <w:rPr>
                <w:rFonts w:cs="Times New Roman"/>
                <w:sz w:val="24"/>
              </w:rPr>
              <w:t>/N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or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i/>
                <w:iCs/>
                <w:sz w:val="24"/>
              </w:rPr>
              <w:t>n</w:t>
            </w:r>
            <w:r w:rsidRPr="008E2A5F">
              <w:rPr>
                <w:rFonts w:cs="Times New Roman"/>
                <w:sz w:val="24"/>
              </w:rPr>
              <w:t>/</w:t>
            </w:r>
            <w:r w:rsidRPr="008E2A5F">
              <w:rPr>
                <w:rFonts w:cs="Times New Roman"/>
                <w:i/>
                <w:iCs/>
                <w:sz w:val="24"/>
              </w:rPr>
              <w:t>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(%)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unless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otherwise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stated.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Patients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without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HBsAg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results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were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not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included.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highest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level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of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multiple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HBsAg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results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treatment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beginning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was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adopted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baseline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value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if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diversity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was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larger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than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0.5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log10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IU/mL,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otherwise,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latest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was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adopted.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P-value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was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calculated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by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ANCOVA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for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intergroup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comparison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and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Wilcoxon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signed-rank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test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for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intragroup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comparison.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difference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of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proportion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was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from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CMH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test,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adjusted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factors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include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HBV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DNA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level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at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baseline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and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the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history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of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oral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anti-HBV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drug.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HBeAg,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hepatitis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antigen;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HBsAg,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hepatitis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B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surface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antigen.</w:t>
            </w:r>
          </w:p>
        </w:tc>
      </w:tr>
      <w:tr w:rsidR="00812312" w:rsidRPr="006C7F64" w14:paraId="62E97BD2" w14:textId="77777777" w:rsidTr="008D00B2">
        <w:trPr>
          <w:trHeight w:val="290"/>
        </w:trPr>
        <w:tc>
          <w:tcPr>
            <w:tcW w:w="0" w:type="auto"/>
            <w:gridSpan w:val="5"/>
            <w:vMerge/>
            <w:vAlign w:val="center"/>
            <w:hideMark/>
          </w:tcPr>
          <w:p w14:paraId="24B05A28" w14:textId="77777777" w:rsidR="00812312" w:rsidRPr="008E2A5F" w:rsidRDefault="00812312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7F83A1" w14:textId="77777777" w:rsidR="00812312" w:rsidRPr="008E2A5F" w:rsidRDefault="00812312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</w:tr>
      <w:tr w:rsidR="00812312" w:rsidRPr="006C7F64" w14:paraId="43F4C80C" w14:textId="77777777" w:rsidTr="008D00B2">
        <w:trPr>
          <w:trHeight w:val="504"/>
        </w:trPr>
        <w:tc>
          <w:tcPr>
            <w:tcW w:w="0" w:type="auto"/>
            <w:gridSpan w:val="5"/>
            <w:vMerge/>
            <w:vAlign w:val="center"/>
            <w:hideMark/>
          </w:tcPr>
          <w:p w14:paraId="32401A4E" w14:textId="77777777" w:rsidR="00812312" w:rsidRPr="008E2A5F" w:rsidRDefault="00812312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3DF534" w14:textId="77777777" w:rsidR="00812312" w:rsidRPr="006C7F64" w:rsidRDefault="00812312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</w:tr>
    </w:tbl>
    <w:p w14:paraId="20AB4D60" w14:textId="77777777" w:rsidR="00812312" w:rsidRPr="006C7F64" w:rsidRDefault="00812312" w:rsidP="00812312">
      <w:pPr>
        <w:adjustRightInd w:val="0"/>
        <w:snapToGrid w:val="0"/>
        <w:rPr>
          <w:rFonts w:cs="Times New Roman"/>
          <w:sz w:val="24"/>
        </w:rPr>
      </w:pPr>
    </w:p>
    <w:p w14:paraId="66C42D9F" w14:textId="77777777" w:rsidR="009A6D3B" w:rsidRDefault="009A6D3B"/>
    <w:sectPr w:rsidR="009A6D3B" w:rsidSect="001309C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312"/>
    <w:rsid w:val="001309C0"/>
    <w:rsid w:val="00812312"/>
    <w:rsid w:val="009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285F"/>
  <w15:docId w15:val="{1E45E076-3084-4C7C-A7A8-DFA48292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2312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12312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  <w:style w:type="character" w:customStyle="1" w:styleId="font01">
    <w:name w:val="font01"/>
    <w:basedOn w:val="a0"/>
    <w:rsid w:val="00812312"/>
    <w:rPr>
      <w:rFonts w:ascii="宋体" w:eastAsia="宋体" w:hAnsi="宋体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2022-10-31T09:56:00Z</dcterms:created>
  <dcterms:modified xsi:type="dcterms:W3CDTF">2022-11-01T11:03:00Z</dcterms:modified>
</cp:coreProperties>
</file>