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B3E" w14:textId="56A7C24A" w:rsidR="007D558F" w:rsidRDefault="007D558F" w:rsidP="007D558F">
      <w:pPr>
        <w:pStyle w:val="2"/>
        <w:adjustRightInd w:val="0"/>
        <w:snapToGrid w:val="0"/>
        <w:spacing w:beforeLines="0" w:afterLines="0"/>
        <w:rPr>
          <w:i w:val="0"/>
          <w:iCs w:val="0"/>
          <w:sz w:val="24"/>
          <w:lang w:val="en-US"/>
        </w:rPr>
      </w:pPr>
      <w:bookmarkStart w:id="0" w:name="_Toc117794890"/>
      <w:r>
        <w:rPr>
          <w:i w:val="0"/>
          <w:iCs w:val="0"/>
          <w:sz w:val="24"/>
          <w:lang w:val="en-US"/>
        </w:rPr>
        <w:t xml:space="preserve">Supplementary </w:t>
      </w:r>
      <w:r w:rsidRPr="008E2A5F">
        <w:rPr>
          <w:i w:val="0"/>
          <w:iCs w:val="0"/>
          <w:sz w:val="24"/>
          <w:lang w:val="en-US"/>
        </w:rPr>
        <w:t>Table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2</w:t>
      </w:r>
      <w:r w:rsidRPr="008E2A5F">
        <w:rPr>
          <w:rFonts w:eastAsia="宋体"/>
          <w:i w:val="0"/>
          <w:iCs w:val="0"/>
          <w:sz w:val="24"/>
          <w:lang w:val="en-US"/>
        </w:rPr>
        <w:t>.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Primary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and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secondary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efficacy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endpoints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at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week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96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–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per-protocol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set</w:t>
      </w:r>
      <w:bookmarkEnd w:id="0"/>
    </w:p>
    <w:tbl>
      <w:tblPr>
        <w:tblW w:w="4977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87"/>
        <w:gridCol w:w="1873"/>
        <w:gridCol w:w="1584"/>
        <w:gridCol w:w="866"/>
        <w:gridCol w:w="1440"/>
        <w:gridCol w:w="1587"/>
        <w:gridCol w:w="1443"/>
        <w:gridCol w:w="863"/>
      </w:tblGrid>
      <w:tr w:rsidR="007D558F" w:rsidRPr="006C7F64" w14:paraId="5F51990F" w14:textId="77777777" w:rsidTr="008D00B2">
        <w:trPr>
          <w:trHeight w:val="397"/>
        </w:trPr>
        <w:tc>
          <w:tcPr>
            <w:tcW w:w="714" w:type="pct"/>
            <w:vMerge w:val="restart"/>
            <w:tcBorders>
              <w:top w:val="single" w:sz="4" w:space="0" w:color="auto"/>
              <w:bottom w:val="nil"/>
            </w:tcBorders>
            <w:noWrap/>
          </w:tcPr>
          <w:p w14:paraId="379C6F2B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2253" w:type="pct"/>
            <w:gridSpan w:val="4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618FB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proofErr w:type="spellStart"/>
            <w:r w:rsidRPr="008E2A5F">
              <w:rPr>
                <w:rFonts w:cs="Times New Roman"/>
                <w:b/>
                <w:bCs/>
                <w:sz w:val="24"/>
              </w:rPr>
              <w:t>HBeAg</w:t>
            </w:r>
            <w:proofErr w:type="spellEnd"/>
            <w:r w:rsidRPr="008E2A5F">
              <w:rPr>
                <w:rFonts w:cs="Times New Roman"/>
                <w:b/>
                <w:bCs/>
                <w:sz w:val="24"/>
              </w:rPr>
              <w:t>-positive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patients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D2A00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proofErr w:type="spellStart"/>
            <w:r w:rsidRPr="008E2A5F">
              <w:rPr>
                <w:rFonts w:cs="Times New Roman"/>
                <w:b/>
                <w:bCs/>
                <w:sz w:val="24"/>
              </w:rPr>
              <w:t>HBeAg</w:t>
            </w:r>
            <w:proofErr w:type="spellEnd"/>
            <w:r w:rsidRPr="008E2A5F">
              <w:rPr>
                <w:rFonts w:cs="Times New Roman"/>
                <w:b/>
                <w:bCs/>
                <w:sz w:val="24"/>
              </w:rPr>
              <w:t>-negative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patients</w:t>
            </w:r>
          </w:p>
        </w:tc>
      </w:tr>
      <w:tr w:rsidR="007D558F" w:rsidRPr="006C7F64" w14:paraId="181224AF" w14:textId="77777777" w:rsidTr="008D00B2">
        <w:trPr>
          <w:trHeight w:val="595"/>
        </w:trPr>
        <w:tc>
          <w:tcPr>
            <w:tcW w:w="71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869CBF5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vAlign w:val="center"/>
          </w:tcPr>
          <w:p w14:paraId="6DC26B57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eastAsia="宋体"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TMF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25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mg</w:t>
            </w:r>
          </w:p>
          <w:p w14:paraId="569CD3AD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(n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=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458)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vAlign w:val="center"/>
          </w:tcPr>
          <w:p w14:paraId="5971836A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eastAsia="宋体"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TDF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300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mg</w:t>
            </w:r>
          </w:p>
          <w:p w14:paraId="72CB651A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(n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=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229)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vAlign w:val="center"/>
          </w:tcPr>
          <w:p w14:paraId="7FF2905A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Difference</w:t>
            </w:r>
          </w:p>
          <w:p w14:paraId="1798BAEB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(95%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CI)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vAlign w:val="center"/>
          </w:tcPr>
          <w:p w14:paraId="59478457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i/>
                <w:sz w:val="24"/>
              </w:rPr>
              <w:t>p</w:t>
            </w:r>
            <w:r w:rsidRPr="008E2A5F">
              <w:rPr>
                <w:rFonts w:cs="Times New Roman"/>
                <w:b/>
                <w:sz w:val="24"/>
              </w:rPr>
              <w:t>-value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vAlign w:val="center"/>
          </w:tcPr>
          <w:p w14:paraId="27ACD593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eastAsia="宋体"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TMF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25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mg</w:t>
            </w:r>
          </w:p>
          <w:p w14:paraId="2C8A255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(n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=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174)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vAlign w:val="center"/>
          </w:tcPr>
          <w:p w14:paraId="4AC6881D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eastAsia="宋体"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TDF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300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mg</w:t>
            </w:r>
          </w:p>
          <w:p w14:paraId="3D60ABC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(n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=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84)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vAlign w:val="center"/>
          </w:tcPr>
          <w:p w14:paraId="40AA088B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Difference</w:t>
            </w:r>
          </w:p>
          <w:p w14:paraId="561698E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sz w:val="24"/>
              </w:rPr>
              <w:t>(95%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sz w:val="24"/>
              </w:rPr>
              <w:t>CI)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14:paraId="3BF3EE8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8E2A5F">
              <w:rPr>
                <w:rFonts w:cs="Times New Roman"/>
                <w:b/>
                <w:i/>
                <w:sz w:val="24"/>
              </w:rPr>
              <w:t>p</w:t>
            </w:r>
            <w:r w:rsidRPr="008E2A5F">
              <w:rPr>
                <w:rFonts w:cs="Times New Roman"/>
                <w:b/>
                <w:sz w:val="24"/>
              </w:rPr>
              <w:t>-value</w:t>
            </w:r>
          </w:p>
        </w:tc>
      </w:tr>
      <w:tr w:rsidR="007D558F" w:rsidRPr="006C7F64" w14:paraId="35B1A4FD" w14:textId="77777777" w:rsidTr="008D00B2">
        <w:trPr>
          <w:trHeight w:val="315"/>
        </w:trPr>
        <w:tc>
          <w:tcPr>
            <w:tcW w:w="714" w:type="pct"/>
            <w:tcBorders>
              <w:top w:val="single" w:sz="4" w:space="0" w:color="auto"/>
            </w:tcBorders>
            <w:noWrap/>
            <w:vAlign w:val="center"/>
          </w:tcPr>
          <w:p w14:paraId="0B16022D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HBV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DNA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20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IU/mL</w:t>
            </w:r>
          </w:p>
        </w:tc>
        <w:tc>
          <w:tcPr>
            <w:tcW w:w="605" w:type="pct"/>
            <w:tcBorders>
              <w:top w:val="single" w:sz="4" w:space="0" w:color="auto"/>
            </w:tcBorders>
            <w:noWrap/>
            <w:vAlign w:val="center"/>
          </w:tcPr>
          <w:p w14:paraId="665E3F7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325/458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(71.0%)</w:t>
            </w:r>
          </w:p>
        </w:tc>
        <w:tc>
          <w:tcPr>
            <w:tcW w:w="714" w:type="pct"/>
            <w:tcBorders>
              <w:top w:val="single" w:sz="4" w:space="0" w:color="auto"/>
            </w:tcBorders>
            <w:noWrap/>
            <w:vAlign w:val="center"/>
          </w:tcPr>
          <w:p w14:paraId="48B52D7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163/229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(71.2%)</w:t>
            </w:r>
          </w:p>
        </w:tc>
        <w:tc>
          <w:tcPr>
            <w:tcW w:w="604" w:type="pct"/>
            <w:tcBorders>
              <w:top w:val="single" w:sz="4" w:space="0" w:color="auto"/>
            </w:tcBorders>
            <w:noWrap/>
            <w:vAlign w:val="center"/>
          </w:tcPr>
          <w:p w14:paraId="699D1BE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-0.0</w:t>
            </w:r>
          </w:p>
          <w:p w14:paraId="4B4403D8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(-6.90,6.86)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14:paraId="0B5465A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0.995</w:t>
            </w:r>
          </w:p>
        </w:tc>
        <w:tc>
          <w:tcPr>
            <w:tcW w:w="549" w:type="pct"/>
            <w:tcBorders>
              <w:top w:val="single" w:sz="4" w:space="0" w:color="auto"/>
            </w:tcBorders>
            <w:noWrap/>
            <w:vAlign w:val="center"/>
          </w:tcPr>
          <w:p w14:paraId="3FCBF4D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162/174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(93.1%)</w:t>
            </w:r>
          </w:p>
        </w:tc>
        <w:tc>
          <w:tcPr>
            <w:tcW w:w="605" w:type="pct"/>
            <w:tcBorders>
              <w:top w:val="single" w:sz="4" w:space="0" w:color="auto"/>
            </w:tcBorders>
            <w:noWrap/>
            <w:vAlign w:val="center"/>
          </w:tcPr>
          <w:p w14:paraId="0E7C685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79/84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(94.0%)</w:t>
            </w:r>
          </w:p>
        </w:tc>
        <w:tc>
          <w:tcPr>
            <w:tcW w:w="550" w:type="pct"/>
            <w:tcBorders>
              <w:top w:val="single" w:sz="4" w:space="0" w:color="auto"/>
            </w:tcBorders>
            <w:noWrap/>
            <w:vAlign w:val="center"/>
          </w:tcPr>
          <w:p w14:paraId="55BADC9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-1.0</w:t>
            </w:r>
          </w:p>
          <w:p w14:paraId="7CAC8B27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(-7.32,5.41)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0263474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0.773</w:t>
            </w:r>
          </w:p>
        </w:tc>
      </w:tr>
      <w:tr w:rsidR="007D558F" w:rsidRPr="006C7F64" w14:paraId="1CAD6DD2" w14:textId="77777777" w:rsidTr="008D00B2">
        <w:trPr>
          <w:trHeight w:val="315"/>
        </w:trPr>
        <w:tc>
          <w:tcPr>
            <w:tcW w:w="714" w:type="pct"/>
            <w:noWrap/>
            <w:vAlign w:val="center"/>
          </w:tcPr>
          <w:p w14:paraId="7B135AF8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HBV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DNA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29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IU/mL</w:t>
            </w:r>
          </w:p>
        </w:tc>
        <w:tc>
          <w:tcPr>
            <w:tcW w:w="605" w:type="pct"/>
            <w:noWrap/>
            <w:vAlign w:val="center"/>
          </w:tcPr>
          <w:p w14:paraId="3095E3DD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344/458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(75.1%)</w:t>
            </w:r>
          </w:p>
        </w:tc>
        <w:tc>
          <w:tcPr>
            <w:tcW w:w="714" w:type="pct"/>
            <w:noWrap/>
            <w:vAlign w:val="center"/>
          </w:tcPr>
          <w:p w14:paraId="01537439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177/229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(77.3%)</w:t>
            </w:r>
          </w:p>
        </w:tc>
        <w:tc>
          <w:tcPr>
            <w:tcW w:w="604" w:type="pct"/>
            <w:noWrap/>
            <w:vAlign w:val="center"/>
          </w:tcPr>
          <w:p w14:paraId="799E6780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-2.1</w:t>
            </w:r>
          </w:p>
          <w:p w14:paraId="4CF58D9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(-8.51,4.41)</w:t>
            </w:r>
          </w:p>
        </w:tc>
        <w:tc>
          <w:tcPr>
            <w:tcW w:w="330" w:type="pct"/>
            <w:vAlign w:val="center"/>
          </w:tcPr>
          <w:p w14:paraId="0344C0A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0.540</w:t>
            </w:r>
          </w:p>
        </w:tc>
        <w:tc>
          <w:tcPr>
            <w:tcW w:w="549" w:type="pct"/>
            <w:noWrap/>
            <w:vAlign w:val="center"/>
          </w:tcPr>
          <w:p w14:paraId="7F9EA8DE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163/174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(93.7%)</w:t>
            </w:r>
          </w:p>
        </w:tc>
        <w:tc>
          <w:tcPr>
            <w:tcW w:w="605" w:type="pct"/>
            <w:noWrap/>
            <w:vAlign w:val="center"/>
          </w:tcPr>
          <w:p w14:paraId="04C1385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79/84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(94.0%)</w:t>
            </w:r>
          </w:p>
        </w:tc>
        <w:tc>
          <w:tcPr>
            <w:tcW w:w="550" w:type="pct"/>
            <w:noWrap/>
            <w:vAlign w:val="center"/>
          </w:tcPr>
          <w:p w14:paraId="039A934F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-0.4</w:t>
            </w:r>
          </w:p>
          <w:p w14:paraId="5C11F84B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(-6.71,5.90)</w:t>
            </w:r>
          </w:p>
        </w:tc>
        <w:tc>
          <w:tcPr>
            <w:tcW w:w="329" w:type="pct"/>
            <w:vAlign w:val="center"/>
          </w:tcPr>
          <w:p w14:paraId="386F30BC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0.900</w:t>
            </w:r>
          </w:p>
        </w:tc>
      </w:tr>
      <w:tr w:rsidR="007D558F" w:rsidRPr="006C7F64" w14:paraId="5191C7ED" w14:textId="77777777" w:rsidTr="008D00B2">
        <w:trPr>
          <w:trHeight w:val="315"/>
        </w:trPr>
        <w:tc>
          <w:tcPr>
            <w:tcW w:w="714" w:type="pct"/>
            <w:noWrap/>
            <w:vAlign w:val="center"/>
          </w:tcPr>
          <w:p w14:paraId="445ADCBE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HBV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DNA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69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IU/mL</w:t>
            </w:r>
          </w:p>
        </w:tc>
        <w:tc>
          <w:tcPr>
            <w:tcW w:w="605" w:type="pct"/>
            <w:vAlign w:val="center"/>
          </w:tcPr>
          <w:p w14:paraId="6CD33B7D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382/458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(83.4%)</w:t>
            </w:r>
          </w:p>
        </w:tc>
        <w:tc>
          <w:tcPr>
            <w:tcW w:w="714" w:type="pct"/>
            <w:vAlign w:val="center"/>
          </w:tcPr>
          <w:p w14:paraId="7E9E1BC6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193/229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(84.3%)</w:t>
            </w:r>
          </w:p>
        </w:tc>
        <w:tc>
          <w:tcPr>
            <w:tcW w:w="604" w:type="pct"/>
            <w:vAlign w:val="center"/>
          </w:tcPr>
          <w:p w14:paraId="129C746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-0.8</w:t>
            </w:r>
          </w:p>
          <w:p w14:paraId="1729E4BE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(-6.53,4.96)</w:t>
            </w:r>
          </w:p>
        </w:tc>
        <w:tc>
          <w:tcPr>
            <w:tcW w:w="330" w:type="pct"/>
            <w:vAlign w:val="center"/>
          </w:tcPr>
          <w:p w14:paraId="3D38FA48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0.792</w:t>
            </w:r>
          </w:p>
        </w:tc>
        <w:tc>
          <w:tcPr>
            <w:tcW w:w="549" w:type="pct"/>
            <w:vAlign w:val="center"/>
          </w:tcPr>
          <w:p w14:paraId="4DE66AE8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166/174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(95.4%)</w:t>
            </w:r>
          </w:p>
        </w:tc>
        <w:tc>
          <w:tcPr>
            <w:tcW w:w="605" w:type="pct"/>
            <w:vAlign w:val="center"/>
          </w:tcPr>
          <w:p w14:paraId="1BA01C7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79/84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(94.0%)</w:t>
            </w:r>
          </w:p>
        </w:tc>
        <w:tc>
          <w:tcPr>
            <w:tcW w:w="550" w:type="pct"/>
            <w:vAlign w:val="center"/>
          </w:tcPr>
          <w:p w14:paraId="68703D4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1.3</w:t>
            </w:r>
          </w:p>
          <w:p w14:paraId="34EB639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(-4.72,7.35)</w:t>
            </w:r>
          </w:p>
        </w:tc>
        <w:tc>
          <w:tcPr>
            <w:tcW w:w="329" w:type="pct"/>
            <w:vAlign w:val="center"/>
          </w:tcPr>
          <w:p w14:paraId="4557BA4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0.655</w:t>
            </w:r>
          </w:p>
        </w:tc>
      </w:tr>
      <w:tr w:rsidR="007D558F" w:rsidRPr="006C7F64" w14:paraId="42249F03" w14:textId="77777777" w:rsidTr="008D00B2">
        <w:trPr>
          <w:trHeight w:val="360"/>
        </w:trPr>
        <w:tc>
          <w:tcPr>
            <w:tcW w:w="714" w:type="pct"/>
            <w:noWrap/>
            <w:vAlign w:val="center"/>
          </w:tcPr>
          <w:p w14:paraId="60AFA749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proofErr w:type="spellStart"/>
            <w:r w:rsidRPr="008E2A5F">
              <w:rPr>
                <w:rFonts w:cs="Times New Roman"/>
                <w:sz w:val="24"/>
              </w:rPr>
              <w:t>HBeAg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cs="Times New Roman"/>
                <w:sz w:val="24"/>
              </w:rPr>
              <w:t>loss</w:t>
            </w:r>
            <w:r w:rsidRPr="008E2A5F">
              <w:rPr>
                <w:rFonts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605" w:type="pct"/>
            <w:noWrap/>
            <w:vAlign w:val="center"/>
          </w:tcPr>
          <w:p w14:paraId="4DB193B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120/420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(28.6%)</w:t>
            </w:r>
          </w:p>
        </w:tc>
        <w:tc>
          <w:tcPr>
            <w:tcW w:w="714" w:type="pct"/>
            <w:noWrap/>
            <w:vAlign w:val="center"/>
          </w:tcPr>
          <w:p w14:paraId="307C47B8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57/213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(26.8%)</w:t>
            </w:r>
          </w:p>
        </w:tc>
        <w:tc>
          <w:tcPr>
            <w:tcW w:w="604" w:type="pct"/>
            <w:noWrap/>
            <w:vAlign w:val="center"/>
          </w:tcPr>
          <w:p w14:paraId="2AD823D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2.1</w:t>
            </w:r>
          </w:p>
          <w:p w14:paraId="40E3488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(-5.01,9.30)</w:t>
            </w:r>
          </w:p>
        </w:tc>
        <w:tc>
          <w:tcPr>
            <w:tcW w:w="330" w:type="pct"/>
            <w:vAlign w:val="center"/>
          </w:tcPr>
          <w:p w14:paraId="6A61DB40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0.562</w:t>
            </w:r>
          </w:p>
        </w:tc>
        <w:tc>
          <w:tcPr>
            <w:tcW w:w="549" w:type="pct"/>
            <w:vAlign w:val="center"/>
          </w:tcPr>
          <w:p w14:paraId="47250449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  <w:tc>
          <w:tcPr>
            <w:tcW w:w="605" w:type="pct"/>
            <w:vAlign w:val="center"/>
          </w:tcPr>
          <w:p w14:paraId="72223CC8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  <w:tc>
          <w:tcPr>
            <w:tcW w:w="550" w:type="pct"/>
            <w:vAlign w:val="center"/>
          </w:tcPr>
          <w:p w14:paraId="2682C3D0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  <w:tc>
          <w:tcPr>
            <w:tcW w:w="329" w:type="pct"/>
            <w:vAlign w:val="center"/>
          </w:tcPr>
          <w:p w14:paraId="019EBF7C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</w:tr>
      <w:tr w:rsidR="007D558F" w:rsidRPr="006C7F64" w14:paraId="13E8F252" w14:textId="77777777" w:rsidTr="008D00B2">
        <w:trPr>
          <w:trHeight w:val="360"/>
        </w:trPr>
        <w:tc>
          <w:tcPr>
            <w:tcW w:w="714" w:type="pct"/>
            <w:noWrap/>
            <w:vAlign w:val="center"/>
          </w:tcPr>
          <w:p w14:paraId="11F4FAF4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proofErr w:type="spellStart"/>
            <w:r w:rsidRPr="008E2A5F">
              <w:rPr>
                <w:rFonts w:cs="Times New Roman"/>
                <w:sz w:val="24"/>
              </w:rPr>
              <w:t>HBeAg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cs="Times New Roman"/>
                <w:sz w:val="24"/>
              </w:rPr>
              <w:t>seroconversion</w:t>
            </w:r>
            <w:r w:rsidRPr="008E2A5F">
              <w:rPr>
                <w:rFonts w:cs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605" w:type="pct"/>
            <w:noWrap/>
            <w:vAlign w:val="center"/>
          </w:tcPr>
          <w:p w14:paraId="7E4C1ECE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60/364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(16.5%)</w:t>
            </w:r>
          </w:p>
        </w:tc>
        <w:tc>
          <w:tcPr>
            <w:tcW w:w="714" w:type="pct"/>
            <w:noWrap/>
            <w:vAlign w:val="center"/>
          </w:tcPr>
          <w:p w14:paraId="4946BF9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25/177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(14.1%)</w:t>
            </w:r>
          </w:p>
        </w:tc>
        <w:tc>
          <w:tcPr>
            <w:tcW w:w="604" w:type="pct"/>
            <w:noWrap/>
            <w:vAlign w:val="center"/>
          </w:tcPr>
          <w:p w14:paraId="3A300BE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2.5</w:t>
            </w:r>
          </w:p>
          <w:p w14:paraId="6045317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(-3.90,8.82)</w:t>
            </w:r>
          </w:p>
        </w:tc>
        <w:tc>
          <w:tcPr>
            <w:tcW w:w="330" w:type="pct"/>
            <w:vAlign w:val="center"/>
          </w:tcPr>
          <w:p w14:paraId="5986D9C6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0.461</w:t>
            </w:r>
          </w:p>
        </w:tc>
        <w:tc>
          <w:tcPr>
            <w:tcW w:w="549" w:type="pct"/>
            <w:noWrap/>
            <w:vAlign w:val="center"/>
          </w:tcPr>
          <w:p w14:paraId="255D6855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  <w:tc>
          <w:tcPr>
            <w:tcW w:w="605" w:type="pct"/>
            <w:vAlign w:val="center"/>
          </w:tcPr>
          <w:p w14:paraId="0B7851D5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  <w:tc>
          <w:tcPr>
            <w:tcW w:w="550" w:type="pct"/>
            <w:vAlign w:val="center"/>
          </w:tcPr>
          <w:p w14:paraId="21E820C3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  <w:tc>
          <w:tcPr>
            <w:tcW w:w="329" w:type="pct"/>
            <w:vAlign w:val="center"/>
          </w:tcPr>
          <w:p w14:paraId="613D9E26" w14:textId="77777777" w:rsidR="007D558F" w:rsidRPr="006C7F64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6C7F64">
              <w:rPr>
                <w:rFonts w:cs="Times New Roman"/>
                <w:sz w:val="24"/>
              </w:rPr>
              <w:t>-</w:t>
            </w:r>
          </w:p>
        </w:tc>
      </w:tr>
      <w:tr w:rsidR="007D558F" w:rsidRPr="006C7F64" w14:paraId="72542791" w14:textId="77777777" w:rsidTr="008D00B2">
        <w:trPr>
          <w:trHeight w:val="360"/>
        </w:trPr>
        <w:tc>
          <w:tcPr>
            <w:tcW w:w="714" w:type="pct"/>
            <w:noWrap/>
            <w:vAlign w:val="center"/>
          </w:tcPr>
          <w:p w14:paraId="6AA4F772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HBsAg</w:t>
            </w:r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cs="Times New Roman"/>
                <w:sz w:val="24"/>
              </w:rPr>
              <w:t>loss</w:t>
            </w:r>
            <w:r w:rsidRPr="008E2A5F">
              <w:rPr>
                <w:rFonts w:cs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605" w:type="pct"/>
            <w:noWrap/>
            <w:vAlign w:val="center"/>
          </w:tcPr>
          <w:p w14:paraId="55B5D17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1/458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(0.2%)</w:t>
            </w:r>
          </w:p>
        </w:tc>
        <w:tc>
          <w:tcPr>
            <w:tcW w:w="714" w:type="pct"/>
            <w:noWrap/>
            <w:vAlign w:val="center"/>
          </w:tcPr>
          <w:p w14:paraId="3B30ADA6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1/229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(0.4%)</w:t>
            </w:r>
          </w:p>
        </w:tc>
        <w:tc>
          <w:tcPr>
            <w:tcW w:w="604" w:type="pct"/>
            <w:noWrap/>
            <w:vAlign w:val="center"/>
          </w:tcPr>
          <w:p w14:paraId="55828BBA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</w:t>
            </w:r>
          </w:p>
        </w:tc>
        <w:tc>
          <w:tcPr>
            <w:tcW w:w="330" w:type="pct"/>
            <w:vAlign w:val="center"/>
          </w:tcPr>
          <w:p w14:paraId="0C3730EC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</w:t>
            </w:r>
          </w:p>
        </w:tc>
        <w:tc>
          <w:tcPr>
            <w:tcW w:w="549" w:type="pct"/>
            <w:noWrap/>
            <w:vAlign w:val="center"/>
          </w:tcPr>
          <w:p w14:paraId="3C5C72C0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2/174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(1.1%)</w:t>
            </w:r>
          </w:p>
        </w:tc>
        <w:tc>
          <w:tcPr>
            <w:tcW w:w="605" w:type="pct"/>
            <w:noWrap/>
            <w:vAlign w:val="center"/>
          </w:tcPr>
          <w:p w14:paraId="41AAFF40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(0.00)</w:t>
            </w:r>
          </w:p>
        </w:tc>
        <w:tc>
          <w:tcPr>
            <w:tcW w:w="550" w:type="pct"/>
            <w:noWrap/>
            <w:vAlign w:val="center"/>
          </w:tcPr>
          <w:p w14:paraId="580F0960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NC</w:t>
            </w:r>
          </w:p>
        </w:tc>
        <w:tc>
          <w:tcPr>
            <w:tcW w:w="329" w:type="pct"/>
            <w:vAlign w:val="center"/>
          </w:tcPr>
          <w:p w14:paraId="53E77A8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NC</w:t>
            </w:r>
          </w:p>
        </w:tc>
      </w:tr>
      <w:tr w:rsidR="007D558F" w:rsidRPr="006C7F64" w14:paraId="12C5A1CF" w14:textId="77777777" w:rsidTr="008D00B2">
        <w:trPr>
          <w:trHeight w:val="630"/>
        </w:trPr>
        <w:tc>
          <w:tcPr>
            <w:tcW w:w="714" w:type="pct"/>
            <w:vAlign w:val="center"/>
          </w:tcPr>
          <w:p w14:paraId="217ECB0E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Mean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ALT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change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from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lastRenderedPageBreak/>
              <w:t>baseline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(SD)</w:t>
            </w:r>
          </w:p>
        </w:tc>
        <w:tc>
          <w:tcPr>
            <w:tcW w:w="605" w:type="pct"/>
            <w:noWrap/>
            <w:vAlign w:val="center"/>
          </w:tcPr>
          <w:p w14:paraId="1840A8C9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-114.60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lastRenderedPageBreak/>
              <w:t>(114.87)</w:t>
            </w:r>
          </w:p>
        </w:tc>
        <w:tc>
          <w:tcPr>
            <w:tcW w:w="714" w:type="pct"/>
            <w:noWrap/>
            <w:vAlign w:val="center"/>
          </w:tcPr>
          <w:p w14:paraId="0397F28D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-100.57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(103.20)</w:t>
            </w:r>
          </w:p>
        </w:tc>
        <w:tc>
          <w:tcPr>
            <w:tcW w:w="604" w:type="pct"/>
            <w:noWrap/>
            <w:vAlign w:val="center"/>
          </w:tcPr>
          <w:p w14:paraId="7740C24B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-4.44</w:t>
            </w:r>
          </w:p>
          <w:p w14:paraId="0A6AA47F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(-7.</w:t>
            </w:r>
            <w:proofErr w:type="gramStart"/>
            <w:r w:rsidRPr="008E2A5F">
              <w:rPr>
                <w:rFonts w:cs="Times New Roman"/>
                <w:sz w:val="24"/>
              </w:rPr>
              <w:t>90,-</w:t>
            </w:r>
            <w:proofErr w:type="gramEnd"/>
            <w:r w:rsidRPr="008E2A5F">
              <w:rPr>
                <w:rFonts w:cs="Times New Roman"/>
                <w:sz w:val="24"/>
              </w:rPr>
              <w:t>0.97)</w:t>
            </w:r>
          </w:p>
        </w:tc>
        <w:tc>
          <w:tcPr>
            <w:tcW w:w="330" w:type="pct"/>
            <w:vAlign w:val="center"/>
          </w:tcPr>
          <w:p w14:paraId="3835495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0.012</w:t>
            </w:r>
          </w:p>
        </w:tc>
        <w:tc>
          <w:tcPr>
            <w:tcW w:w="549" w:type="pct"/>
            <w:noWrap/>
            <w:vAlign w:val="center"/>
          </w:tcPr>
          <w:p w14:paraId="6F4A969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-96.71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lastRenderedPageBreak/>
              <w:t>(107.12)</w:t>
            </w:r>
          </w:p>
        </w:tc>
        <w:tc>
          <w:tcPr>
            <w:tcW w:w="605" w:type="pct"/>
            <w:noWrap/>
            <w:vAlign w:val="center"/>
          </w:tcPr>
          <w:p w14:paraId="1B7F395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-85.27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lastRenderedPageBreak/>
              <w:t>(112.13)</w:t>
            </w:r>
          </w:p>
        </w:tc>
        <w:tc>
          <w:tcPr>
            <w:tcW w:w="550" w:type="pct"/>
            <w:noWrap/>
            <w:vAlign w:val="center"/>
          </w:tcPr>
          <w:p w14:paraId="7AC720B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-0.69</w:t>
            </w:r>
          </w:p>
          <w:p w14:paraId="443EADC0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(-4.50,3.12)</w:t>
            </w:r>
          </w:p>
        </w:tc>
        <w:tc>
          <w:tcPr>
            <w:tcW w:w="329" w:type="pct"/>
            <w:vAlign w:val="center"/>
          </w:tcPr>
          <w:p w14:paraId="339C6B1A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0.721</w:t>
            </w:r>
          </w:p>
        </w:tc>
      </w:tr>
      <w:tr w:rsidR="007D558F" w:rsidRPr="006C7F64" w14:paraId="376BE761" w14:textId="77777777" w:rsidTr="008D00B2">
        <w:trPr>
          <w:trHeight w:val="630"/>
        </w:trPr>
        <w:tc>
          <w:tcPr>
            <w:tcW w:w="714" w:type="pct"/>
            <w:vAlign w:val="center"/>
          </w:tcPr>
          <w:p w14:paraId="42DD421D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ALT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normalization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rate</w:t>
            </w:r>
            <w:r w:rsidRPr="008E2A5F">
              <w:rPr>
                <w:rFonts w:cs="Times New Roman"/>
                <w:sz w:val="24"/>
                <w:vertAlign w:val="superscript"/>
              </w:rPr>
              <w:t>d</w:t>
            </w:r>
          </w:p>
        </w:tc>
        <w:tc>
          <w:tcPr>
            <w:tcW w:w="605" w:type="pct"/>
            <w:noWrap/>
            <w:vAlign w:val="center"/>
          </w:tcPr>
          <w:p w14:paraId="3D3E2A0D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326/422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(77.3%)</w:t>
            </w:r>
          </w:p>
        </w:tc>
        <w:tc>
          <w:tcPr>
            <w:tcW w:w="714" w:type="pct"/>
            <w:noWrap/>
            <w:vAlign w:val="center"/>
          </w:tcPr>
          <w:p w14:paraId="14E0148F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141/209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(67.5%)</w:t>
            </w:r>
          </w:p>
        </w:tc>
        <w:tc>
          <w:tcPr>
            <w:tcW w:w="604" w:type="pct"/>
            <w:noWrap/>
            <w:vAlign w:val="center"/>
          </w:tcPr>
          <w:p w14:paraId="738171A3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9.7</w:t>
            </w:r>
          </w:p>
          <w:p w14:paraId="47F16330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(2.18,17.22)</w:t>
            </w:r>
          </w:p>
        </w:tc>
        <w:tc>
          <w:tcPr>
            <w:tcW w:w="330" w:type="pct"/>
            <w:vAlign w:val="center"/>
          </w:tcPr>
          <w:p w14:paraId="127714B6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0.009</w:t>
            </w:r>
          </w:p>
        </w:tc>
        <w:tc>
          <w:tcPr>
            <w:tcW w:w="549" w:type="pct"/>
            <w:noWrap/>
            <w:vAlign w:val="center"/>
          </w:tcPr>
          <w:p w14:paraId="7D624FA6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121/162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(74.7%)</w:t>
            </w:r>
          </w:p>
        </w:tc>
        <w:tc>
          <w:tcPr>
            <w:tcW w:w="605" w:type="pct"/>
            <w:noWrap/>
            <w:vAlign w:val="center"/>
          </w:tcPr>
          <w:p w14:paraId="3F9682B9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54/75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(72.0%)</w:t>
            </w:r>
          </w:p>
        </w:tc>
        <w:tc>
          <w:tcPr>
            <w:tcW w:w="550" w:type="pct"/>
            <w:noWrap/>
            <w:vAlign w:val="center"/>
          </w:tcPr>
          <w:p w14:paraId="0C21D0F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2.6</w:t>
            </w:r>
          </w:p>
          <w:p w14:paraId="0859904F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(-9.84,15.01)</w:t>
            </w:r>
          </w:p>
        </w:tc>
        <w:tc>
          <w:tcPr>
            <w:tcW w:w="329" w:type="pct"/>
            <w:vAlign w:val="center"/>
          </w:tcPr>
          <w:p w14:paraId="6F01E99C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0.677</w:t>
            </w:r>
          </w:p>
        </w:tc>
      </w:tr>
      <w:tr w:rsidR="007D558F" w:rsidRPr="006C7F64" w14:paraId="6217197F" w14:textId="77777777" w:rsidTr="008D00B2">
        <w:trPr>
          <w:trHeight w:val="630"/>
        </w:trPr>
        <w:tc>
          <w:tcPr>
            <w:tcW w:w="714" w:type="pct"/>
            <w:tcBorders>
              <w:bottom w:val="nil"/>
            </w:tcBorders>
            <w:vAlign w:val="center"/>
          </w:tcPr>
          <w:p w14:paraId="419848AF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proofErr w:type="spellStart"/>
            <w:r w:rsidRPr="008E2A5F">
              <w:rPr>
                <w:rFonts w:cs="Times New Roman"/>
                <w:sz w:val="24"/>
              </w:rPr>
              <w:t>Mean</w:t>
            </w:r>
            <w:r w:rsidRPr="008E2A5F">
              <w:rPr>
                <w:rFonts w:cs="Times New Roman"/>
                <w:sz w:val="24"/>
                <w:vertAlign w:val="superscript"/>
              </w:rPr>
              <w:t>e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FIB-4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score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change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from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baseline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(SD)</w:t>
            </w:r>
          </w:p>
        </w:tc>
        <w:tc>
          <w:tcPr>
            <w:tcW w:w="605" w:type="pct"/>
            <w:tcBorders>
              <w:bottom w:val="nil"/>
            </w:tcBorders>
            <w:noWrap/>
            <w:vAlign w:val="center"/>
          </w:tcPr>
          <w:p w14:paraId="0A29304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-0.49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(0.89)</w:t>
            </w:r>
          </w:p>
        </w:tc>
        <w:tc>
          <w:tcPr>
            <w:tcW w:w="714" w:type="pct"/>
            <w:tcBorders>
              <w:bottom w:val="nil"/>
            </w:tcBorders>
            <w:noWrap/>
            <w:vAlign w:val="center"/>
          </w:tcPr>
          <w:p w14:paraId="692CD67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-0.51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(0.91)</w:t>
            </w:r>
          </w:p>
        </w:tc>
        <w:tc>
          <w:tcPr>
            <w:tcW w:w="604" w:type="pct"/>
            <w:tcBorders>
              <w:bottom w:val="nil"/>
            </w:tcBorders>
            <w:noWrap/>
            <w:vAlign w:val="center"/>
          </w:tcPr>
          <w:p w14:paraId="782BD363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-0.09</w:t>
            </w:r>
          </w:p>
          <w:p w14:paraId="4459867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(-0.17,0.00)</w:t>
            </w:r>
          </w:p>
        </w:tc>
        <w:tc>
          <w:tcPr>
            <w:tcW w:w="330" w:type="pct"/>
            <w:tcBorders>
              <w:bottom w:val="nil"/>
            </w:tcBorders>
            <w:vAlign w:val="center"/>
          </w:tcPr>
          <w:p w14:paraId="39881C5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0.044</w:t>
            </w:r>
          </w:p>
        </w:tc>
        <w:tc>
          <w:tcPr>
            <w:tcW w:w="549" w:type="pct"/>
            <w:tcBorders>
              <w:bottom w:val="nil"/>
            </w:tcBorders>
            <w:noWrap/>
            <w:vAlign w:val="center"/>
          </w:tcPr>
          <w:p w14:paraId="35B3BCF3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-0.77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(1.40)</w:t>
            </w:r>
          </w:p>
        </w:tc>
        <w:tc>
          <w:tcPr>
            <w:tcW w:w="605" w:type="pct"/>
            <w:tcBorders>
              <w:bottom w:val="nil"/>
            </w:tcBorders>
            <w:noWrap/>
            <w:vAlign w:val="center"/>
          </w:tcPr>
          <w:p w14:paraId="4B648879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-0.37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(0.88)</w:t>
            </w:r>
          </w:p>
        </w:tc>
        <w:tc>
          <w:tcPr>
            <w:tcW w:w="550" w:type="pct"/>
            <w:tcBorders>
              <w:bottom w:val="nil"/>
            </w:tcBorders>
            <w:noWrap/>
            <w:vAlign w:val="center"/>
          </w:tcPr>
          <w:p w14:paraId="6AD46DC2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-0.09</w:t>
            </w:r>
          </w:p>
          <w:p w14:paraId="7283A99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(-0.27,0.08)</w:t>
            </w: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14:paraId="400D8794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0.286</w:t>
            </w:r>
          </w:p>
        </w:tc>
      </w:tr>
      <w:tr w:rsidR="007D558F" w:rsidRPr="006C7F64" w14:paraId="434B1355" w14:textId="77777777" w:rsidTr="008D00B2">
        <w:trPr>
          <w:trHeight w:val="645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vAlign w:val="center"/>
          </w:tcPr>
          <w:p w14:paraId="2B3A0A16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proofErr w:type="spellStart"/>
            <w:r w:rsidRPr="008E2A5F">
              <w:rPr>
                <w:rFonts w:cs="Times New Roman"/>
                <w:sz w:val="24"/>
              </w:rPr>
              <w:t>Mean</w:t>
            </w:r>
            <w:r w:rsidRPr="008E2A5F">
              <w:rPr>
                <w:rFonts w:cs="Times New Roman"/>
                <w:sz w:val="24"/>
                <w:vertAlign w:val="superscript"/>
              </w:rPr>
              <w:t>e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LSM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value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change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from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baseline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(SD)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CA1A583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-3.74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(5.32)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0578349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-4.79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(6.14)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8544231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0.42</w:t>
            </w:r>
          </w:p>
          <w:p w14:paraId="237C0DE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(-0.02,0.86)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vAlign w:val="center"/>
          </w:tcPr>
          <w:p w14:paraId="692DD797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0.060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EB4AE0C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-3.08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(6.07)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485D54F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-3.38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(4.25)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D54EE18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0.55</w:t>
            </w:r>
          </w:p>
          <w:p w14:paraId="6E3F09F9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(-0.32,1.41)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14:paraId="036E8E05" w14:textId="77777777" w:rsidR="007D558F" w:rsidRPr="008E2A5F" w:rsidRDefault="007D558F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0.212</w:t>
            </w:r>
          </w:p>
        </w:tc>
      </w:tr>
      <w:tr w:rsidR="007D558F" w:rsidRPr="006C7F64" w14:paraId="2CA9FD3D" w14:textId="77777777" w:rsidTr="008D00B2">
        <w:trPr>
          <w:trHeight w:val="645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2318297" w14:textId="77777777" w:rsidR="007D558F" w:rsidRPr="008E2A5F" w:rsidRDefault="007D558F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Data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n</w:t>
            </w:r>
            <w:r w:rsidRPr="008E2A5F">
              <w:rPr>
                <w:rFonts w:cs="Times New Roman"/>
                <w:sz w:val="24"/>
              </w:rPr>
              <w:t>/N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or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n</w:t>
            </w:r>
            <w:r w:rsidRPr="008E2A5F">
              <w:rPr>
                <w:rFonts w:cs="Times New Roman"/>
                <w:sz w:val="24"/>
              </w:rPr>
              <w:t>/</w:t>
            </w:r>
            <w:r w:rsidRPr="008E2A5F">
              <w:rPr>
                <w:rFonts w:cs="Times New Roman"/>
                <w:i/>
                <w:iCs/>
                <w:sz w:val="24"/>
              </w:rPr>
              <w:t>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</w:t>
            </w:r>
            <w:r w:rsidRPr="008E2A5F">
              <w:rPr>
                <w:rFonts w:eastAsia="宋体" w:cs="Times New Roman"/>
                <w:sz w:val="24"/>
              </w:rPr>
              <w:t>%</w:t>
            </w:r>
            <w:r w:rsidRPr="008E2A5F">
              <w:rPr>
                <w:rFonts w:cs="Times New Roman"/>
                <w:sz w:val="24"/>
              </w:rPr>
              <w:t>)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unless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otherwise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stated.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AASLD,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American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Association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the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Study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of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Liver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Diseases;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ALT,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alanine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aminotransferase;</w:t>
            </w:r>
            <w:r>
              <w:rPr>
                <w:rFonts w:eastAsia="宋体"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eastAsia="宋体" w:cs="Times New Roman"/>
                <w:sz w:val="24"/>
              </w:rPr>
              <w:t>HBeAg</w:t>
            </w:r>
            <w:proofErr w:type="spellEnd"/>
            <w:r w:rsidRPr="008E2A5F">
              <w:rPr>
                <w:rFonts w:eastAsia="宋体" w:cs="Times New Roman"/>
                <w:sz w:val="24"/>
              </w:rPr>
              <w:t>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hepatitis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antigen;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HBsAg,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hepatitis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surface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antigen;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HBV,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hepatitis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virus;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PPS,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per-protocol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set.</w:t>
            </w:r>
          </w:p>
          <w:p w14:paraId="306BA51C" w14:textId="77777777" w:rsidR="007D558F" w:rsidRPr="008E2A5F" w:rsidRDefault="007D558F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proofErr w:type="spellStart"/>
            <w:r w:rsidRPr="008E2A5F">
              <w:rPr>
                <w:rFonts w:eastAsia="宋体" w:cs="Times New Roman"/>
                <w:sz w:val="24"/>
                <w:vertAlign w:val="superscript"/>
              </w:rPr>
              <w:t>a</w:t>
            </w:r>
            <w:r w:rsidRPr="008E2A5F">
              <w:rPr>
                <w:rFonts w:eastAsia="宋体" w:cs="Times New Roman"/>
                <w:sz w:val="24"/>
              </w:rPr>
              <w:t>Among</w:t>
            </w:r>
            <w:proofErr w:type="spellEnd"/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patients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who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were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seropositive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eastAsia="宋体" w:cs="Times New Roman"/>
                <w:sz w:val="24"/>
              </w:rPr>
              <w:t>HBeAg</w:t>
            </w:r>
            <w:proofErr w:type="spellEnd"/>
            <w:r w:rsidRPr="008E2A5F">
              <w:rPr>
                <w:rFonts w:eastAsia="宋体" w:cs="Times New Roman"/>
                <w:sz w:val="24"/>
              </w:rPr>
              <w:t>;</w:t>
            </w:r>
            <w:r>
              <w:rPr>
                <w:rFonts w:eastAsia="宋体"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eastAsia="宋体" w:cs="Times New Roman"/>
                <w:sz w:val="24"/>
                <w:vertAlign w:val="superscript"/>
              </w:rPr>
              <w:t>b</w:t>
            </w:r>
            <w:r w:rsidRPr="008E2A5F">
              <w:rPr>
                <w:rFonts w:eastAsia="宋体" w:cs="Times New Roman"/>
                <w:sz w:val="24"/>
              </w:rPr>
              <w:t>Among</w:t>
            </w:r>
            <w:proofErr w:type="spellEnd"/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patients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who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were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seropositive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eastAsia="宋体" w:cs="Times New Roman"/>
                <w:sz w:val="24"/>
              </w:rPr>
              <w:t>HBeAg</w:t>
            </w:r>
            <w:proofErr w:type="spellEnd"/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negative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anti-</w:t>
            </w:r>
            <w:proofErr w:type="spellStart"/>
            <w:r w:rsidRPr="008E2A5F">
              <w:rPr>
                <w:rFonts w:eastAsia="宋体" w:cs="Times New Roman"/>
                <w:sz w:val="24"/>
              </w:rPr>
              <w:t>HBe</w:t>
            </w:r>
            <w:proofErr w:type="spellEnd"/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baseline;</w:t>
            </w:r>
            <w:r>
              <w:rPr>
                <w:rFonts w:eastAsia="宋体"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eastAsia="宋体" w:cs="Times New Roman"/>
                <w:sz w:val="24"/>
                <w:vertAlign w:val="superscript"/>
              </w:rPr>
              <w:t>c</w:t>
            </w:r>
            <w:r w:rsidRPr="008E2A5F">
              <w:rPr>
                <w:rFonts w:eastAsia="宋体" w:cs="Times New Roman"/>
                <w:sz w:val="24"/>
              </w:rPr>
              <w:t>Among</w:t>
            </w:r>
            <w:proofErr w:type="spellEnd"/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patients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who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were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seropositive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HBsAg;</w:t>
            </w:r>
            <w:r>
              <w:rPr>
                <w:rFonts w:eastAsia="宋体"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cs="Times New Roman"/>
                <w:sz w:val="24"/>
                <w:vertAlign w:val="superscript"/>
              </w:rPr>
              <w:t>d</w:t>
            </w:r>
            <w:r w:rsidRPr="008E2A5F">
              <w:rPr>
                <w:rFonts w:eastAsia="宋体" w:cs="Times New Roman"/>
                <w:sz w:val="24"/>
              </w:rPr>
              <w:t>The</w:t>
            </w:r>
            <w:proofErr w:type="spellEnd"/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upper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limit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of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normal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35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U/L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male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25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U/L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female;</w:t>
            </w:r>
            <w:r>
              <w:rPr>
                <w:rFonts w:eastAsia="宋体" w:cs="Times New Roman"/>
                <w:sz w:val="24"/>
              </w:rPr>
              <w:t xml:space="preserve"> </w:t>
            </w:r>
            <w:proofErr w:type="spellStart"/>
            <w:r w:rsidRPr="008E2A5F">
              <w:rPr>
                <w:rFonts w:cs="Times New Roman"/>
                <w:sz w:val="24"/>
                <w:vertAlign w:val="superscript"/>
              </w:rPr>
              <w:t>e</w:t>
            </w:r>
            <w:r w:rsidRPr="008E2A5F">
              <w:rPr>
                <w:rFonts w:cs="Times New Roman"/>
                <w:sz w:val="24"/>
              </w:rPr>
              <w:t>Least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squares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mean.</w:t>
            </w:r>
          </w:p>
        </w:tc>
      </w:tr>
    </w:tbl>
    <w:p w14:paraId="1064CD60" w14:textId="77777777" w:rsidR="007D558F" w:rsidRPr="008E2A5F" w:rsidRDefault="007D558F" w:rsidP="007D558F">
      <w:pPr>
        <w:adjustRightInd w:val="0"/>
        <w:snapToGrid w:val="0"/>
        <w:rPr>
          <w:rFonts w:cs="Times New Roman"/>
          <w:b/>
          <w:bCs/>
          <w:sz w:val="24"/>
        </w:rPr>
        <w:sectPr w:rsidR="007D558F" w:rsidRPr="008E2A5F" w:rsidSect="007D55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27A8E8" w14:textId="77777777" w:rsidR="00575DCE" w:rsidRDefault="00575DCE"/>
    <w:sectPr w:rsidR="00575D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8F"/>
    <w:rsid w:val="00206C56"/>
    <w:rsid w:val="00575DCE"/>
    <w:rsid w:val="007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9940"/>
  <w15:docId w15:val="{0EB84E4B-FE9D-404E-90AC-C64D07B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558F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D558F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2022-10-31T09:55:00Z</dcterms:created>
  <dcterms:modified xsi:type="dcterms:W3CDTF">2022-11-01T11:04:00Z</dcterms:modified>
</cp:coreProperties>
</file>