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3E18" w14:textId="3B866CE8" w:rsidR="00DC3BE3" w:rsidRPr="008E2A5F" w:rsidRDefault="00DC3BE3" w:rsidP="00DC3BE3">
      <w:pPr>
        <w:pStyle w:val="2"/>
        <w:adjustRightInd w:val="0"/>
        <w:snapToGrid w:val="0"/>
        <w:spacing w:beforeLines="0" w:afterLines="0"/>
        <w:rPr>
          <w:b w:val="0"/>
          <w:bCs w:val="0"/>
          <w:i w:val="0"/>
          <w:iCs w:val="0"/>
          <w:sz w:val="24"/>
          <w:lang w:val="en-US"/>
        </w:rPr>
      </w:pPr>
      <w:bookmarkStart w:id="0" w:name="_Toc117794889"/>
      <w:r>
        <w:rPr>
          <w:i w:val="0"/>
          <w:iCs w:val="0"/>
          <w:sz w:val="24"/>
          <w:lang w:val="en-US"/>
        </w:rPr>
        <w:t xml:space="preserve">Supplementary </w:t>
      </w:r>
      <w:r w:rsidRPr="008E2A5F">
        <w:rPr>
          <w:i w:val="0"/>
          <w:iCs w:val="0"/>
          <w:sz w:val="24"/>
          <w:lang w:val="en-US"/>
        </w:rPr>
        <w:t>Table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1.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Baseline</w:t>
      </w:r>
      <w:r>
        <w:rPr>
          <w:i w:val="0"/>
          <w:iCs w:val="0"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characteristics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253"/>
        <w:gridCol w:w="1867"/>
        <w:gridCol w:w="1867"/>
        <w:gridCol w:w="1869"/>
      </w:tblGrid>
      <w:tr w:rsidR="00DC3BE3" w:rsidRPr="006C7F64" w14:paraId="5B19AE47" w14:textId="77777777" w:rsidTr="008D00B2">
        <w:trPr>
          <w:trHeight w:val="397"/>
        </w:trPr>
        <w:tc>
          <w:tcPr>
            <w:tcW w:w="1837" w:type="pct"/>
            <w:tcBorders>
              <w:top w:val="single" w:sz="4" w:space="0" w:color="auto"/>
            </w:tcBorders>
            <w:vAlign w:val="center"/>
            <w:hideMark/>
          </w:tcPr>
          <w:p w14:paraId="4A46D53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  <w:hideMark/>
          </w:tcPr>
          <w:p w14:paraId="1A6D94A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TMF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25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mg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  <w:hideMark/>
          </w:tcPr>
          <w:p w14:paraId="78ED0BC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TDF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300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mg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  <w:hideMark/>
          </w:tcPr>
          <w:p w14:paraId="38E8EEB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Total</w:t>
            </w:r>
          </w:p>
        </w:tc>
      </w:tr>
      <w:tr w:rsidR="00DC3BE3" w:rsidRPr="006C7F64" w14:paraId="6CF11267" w14:textId="77777777" w:rsidTr="008D00B2">
        <w:trPr>
          <w:trHeight w:val="397"/>
        </w:trPr>
        <w:tc>
          <w:tcPr>
            <w:tcW w:w="1837" w:type="pct"/>
            <w:tcBorders>
              <w:bottom w:val="single" w:sz="4" w:space="0" w:color="auto"/>
            </w:tcBorders>
            <w:vAlign w:val="center"/>
            <w:hideMark/>
          </w:tcPr>
          <w:p w14:paraId="033FB98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  <w:hideMark/>
          </w:tcPr>
          <w:p w14:paraId="3EBE354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(N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=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666)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  <w:hideMark/>
          </w:tcPr>
          <w:p w14:paraId="220FDE7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(N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=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336)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  <w:hideMark/>
          </w:tcPr>
          <w:p w14:paraId="55D524C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b/>
                <w:bCs/>
                <w:sz w:val="24"/>
              </w:rPr>
            </w:pPr>
            <w:r w:rsidRPr="008E2A5F">
              <w:rPr>
                <w:rFonts w:eastAsia="宋体" w:cs="Times New Roman"/>
                <w:b/>
                <w:bCs/>
                <w:sz w:val="24"/>
              </w:rPr>
              <w:t>(N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=</w:t>
            </w:r>
            <w:r>
              <w:rPr>
                <w:rFonts w:eastAsia="宋体" w:cs="Times New Roman"/>
                <w:b/>
                <w:bCs/>
                <w:sz w:val="24"/>
              </w:rPr>
              <w:t xml:space="preserve"> </w:t>
            </w:r>
            <w:r w:rsidRPr="008E2A5F">
              <w:rPr>
                <w:rFonts w:eastAsia="宋体" w:cs="Times New Roman"/>
                <w:b/>
                <w:bCs/>
                <w:sz w:val="24"/>
              </w:rPr>
              <w:t>1002)</w:t>
            </w:r>
          </w:p>
        </w:tc>
      </w:tr>
      <w:tr w:rsidR="00DC3BE3" w:rsidRPr="006C7F64" w14:paraId="33542DA5" w14:textId="77777777" w:rsidTr="008D00B2">
        <w:trPr>
          <w:trHeight w:val="310"/>
        </w:trPr>
        <w:tc>
          <w:tcPr>
            <w:tcW w:w="1837" w:type="pct"/>
            <w:tcBorders>
              <w:top w:val="single" w:sz="4" w:space="0" w:color="auto"/>
            </w:tcBorders>
            <w:vAlign w:val="center"/>
            <w:hideMark/>
          </w:tcPr>
          <w:p w14:paraId="775BDC0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Age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(years)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  <w:hideMark/>
          </w:tcPr>
          <w:p w14:paraId="1A14AD8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(29-44)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  <w:hideMark/>
          </w:tcPr>
          <w:p w14:paraId="26518AF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(28-45)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  <w:hideMark/>
          </w:tcPr>
          <w:p w14:paraId="214D737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(29-44)</w:t>
            </w:r>
          </w:p>
        </w:tc>
      </w:tr>
      <w:tr w:rsidR="00DC3BE3" w:rsidRPr="006C7F64" w14:paraId="613DCC72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3F67E55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Male</w:t>
            </w:r>
          </w:p>
        </w:tc>
        <w:tc>
          <w:tcPr>
            <w:tcW w:w="1054" w:type="pct"/>
            <w:vAlign w:val="center"/>
            <w:hideMark/>
          </w:tcPr>
          <w:p w14:paraId="0FD6F32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480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(72.1%)</w:t>
            </w:r>
          </w:p>
        </w:tc>
        <w:tc>
          <w:tcPr>
            <w:tcW w:w="1054" w:type="pct"/>
            <w:vAlign w:val="center"/>
            <w:hideMark/>
          </w:tcPr>
          <w:p w14:paraId="443A2AB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243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(72.3%)</w:t>
            </w:r>
          </w:p>
        </w:tc>
        <w:tc>
          <w:tcPr>
            <w:tcW w:w="1055" w:type="pct"/>
            <w:vAlign w:val="center"/>
            <w:hideMark/>
          </w:tcPr>
          <w:p w14:paraId="0686177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723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(72.2%)</w:t>
            </w:r>
          </w:p>
        </w:tc>
      </w:tr>
      <w:tr w:rsidR="00DC3BE3" w:rsidRPr="006C7F64" w14:paraId="450B9F44" w14:textId="77777777" w:rsidTr="008D00B2">
        <w:trPr>
          <w:trHeight w:val="370"/>
        </w:trPr>
        <w:tc>
          <w:tcPr>
            <w:tcW w:w="1837" w:type="pct"/>
            <w:vAlign w:val="center"/>
            <w:hideMark/>
          </w:tcPr>
          <w:p w14:paraId="1AD92A6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Body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mass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index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(kg/m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2</w:t>
            </w:r>
            <w:r w:rsidRPr="008E2A5F">
              <w:rPr>
                <w:rFonts w:eastAsia="宋体" w:cs="Times New Roman"/>
                <w:sz w:val="24"/>
              </w:rPr>
              <w:t>)</w:t>
            </w:r>
          </w:p>
        </w:tc>
        <w:tc>
          <w:tcPr>
            <w:tcW w:w="1054" w:type="pct"/>
            <w:vAlign w:val="center"/>
            <w:hideMark/>
          </w:tcPr>
          <w:p w14:paraId="183D587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23.2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(21.21-25.48)</w:t>
            </w:r>
          </w:p>
        </w:tc>
        <w:tc>
          <w:tcPr>
            <w:tcW w:w="1054" w:type="pct"/>
            <w:vAlign w:val="center"/>
            <w:hideMark/>
          </w:tcPr>
          <w:p w14:paraId="0478726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23.1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(21.11-25.53)</w:t>
            </w:r>
          </w:p>
        </w:tc>
        <w:tc>
          <w:tcPr>
            <w:tcW w:w="1055" w:type="pct"/>
            <w:vAlign w:val="center"/>
            <w:hideMark/>
          </w:tcPr>
          <w:p w14:paraId="1BCA903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23.2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(21.16-25.51)</w:t>
            </w:r>
          </w:p>
        </w:tc>
      </w:tr>
      <w:tr w:rsidR="00DC3BE3" w:rsidRPr="006C7F64" w14:paraId="537EB12F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69E9D54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</w:p>
        </w:tc>
        <w:tc>
          <w:tcPr>
            <w:tcW w:w="1054" w:type="pct"/>
            <w:vAlign w:val="center"/>
            <w:hideMark/>
          </w:tcPr>
          <w:p w14:paraId="4AA731D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486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(73.0%)</w:t>
            </w:r>
          </w:p>
        </w:tc>
        <w:tc>
          <w:tcPr>
            <w:tcW w:w="1054" w:type="pct"/>
            <w:vAlign w:val="center"/>
            <w:hideMark/>
          </w:tcPr>
          <w:p w14:paraId="0B3028C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246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(73.2%)</w:t>
            </w:r>
          </w:p>
        </w:tc>
        <w:tc>
          <w:tcPr>
            <w:tcW w:w="1055" w:type="pct"/>
            <w:vAlign w:val="center"/>
            <w:hideMark/>
          </w:tcPr>
          <w:p w14:paraId="51981C3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732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(73.0%)</w:t>
            </w:r>
          </w:p>
        </w:tc>
      </w:tr>
      <w:tr w:rsidR="00DC3BE3" w:rsidRPr="006C7F64" w14:paraId="6C5A81E3" w14:textId="77777777" w:rsidTr="008D00B2">
        <w:trPr>
          <w:trHeight w:val="350"/>
        </w:trPr>
        <w:tc>
          <w:tcPr>
            <w:tcW w:w="1837" w:type="pct"/>
            <w:vAlign w:val="center"/>
            <w:hideMark/>
          </w:tcPr>
          <w:p w14:paraId="3E603E0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HBV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DNA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(log</w:t>
            </w:r>
            <w:r w:rsidRPr="008E2A5F">
              <w:rPr>
                <w:rFonts w:eastAsia="宋体" w:cs="Times New Roman"/>
                <w:sz w:val="24"/>
                <w:vertAlign w:val="subscript"/>
              </w:rPr>
              <w:t>10</w:t>
            </w:r>
            <w:r>
              <w:rPr>
                <w:rFonts w:eastAsia="宋体" w:cs="Times New Roman"/>
                <w:sz w:val="24"/>
                <w:vertAlign w:val="subscript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IU/mL)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0D395AB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</w:tr>
      <w:tr w:rsidR="00DC3BE3" w:rsidRPr="006C7F64" w14:paraId="1CBF898D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6735C604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Pooled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14FA7EA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7.28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(5.86-8.23)</w:t>
            </w:r>
          </w:p>
        </w:tc>
        <w:tc>
          <w:tcPr>
            <w:tcW w:w="1054" w:type="pct"/>
            <w:vAlign w:val="center"/>
            <w:hideMark/>
          </w:tcPr>
          <w:p w14:paraId="68DA1938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7.34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(5.86-8.23)</w:t>
            </w:r>
          </w:p>
        </w:tc>
        <w:tc>
          <w:tcPr>
            <w:tcW w:w="1055" w:type="pct"/>
            <w:vAlign w:val="center"/>
            <w:hideMark/>
          </w:tcPr>
          <w:p w14:paraId="120674E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7.31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(5.86-8.23)</w:t>
            </w:r>
          </w:p>
        </w:tc>
      </w:tr>
      <w:tr w:rsidR="00DC3BE3" w:rsidRPr="006C7F64" w14:paraId="7478F145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7B0CB292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312B8EC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7.93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(6.61-8.23)</w:t>
            </w:r>
          </w:p>
        </w:tc>
        <w:tc>
          <w:tcPr>
            <w:tcW w:w="1054" w:type="pct"/>
            <w:vAlign w:val="center"/>
            <w:hideMark/>
          </w:tcPr>
          <w:p w14:paraId="6F10B54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7.91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(6.75-8.23)</w:t>
            </w:r>
          </w:p>
        </w:tc>
        <w:tc>
          <w:tcPr>
            <w:tcW w:w="1055" w:type="pct"/>
            <w:vAlign w:val="center"/>
            <w:hideMark/>
          </w:tcPr>
          <w:p w14:paraId="6F06D72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7.92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(6.68-8.23)</w:t>
            </w:r>
          </w:p>
        </w:tc>
      </w:tr>
      <w:tr w:rsidR="00DC3BE3" w:rsidRPr="006C7F64" w14:paraId="2C649DE3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ECCD8E1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HBeAg-negative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73A91078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5.82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(5.06-6.58)</w:t>
            </w:r>
          </w:p>
        </w:tc>
        <w:tc>
          <w:tcPr>
            <w:tcW w:w="1054" w:type="pct"/>
            <w:vAlign w:val="center"/>
            <w:hideMark/>
          </w:tcPr>
          <w:p w14:paraId="37E9B88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5.72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(5.08-6.54)</w:t>
            </w:r>
          </w:p>
        </w:tc>
        <w:tc>
          <w:tcPr>
            <w:tcW w:w="1055" w:type="pct"/>
            <w:vAlign w:val="center"/>
            <w:hideMark/>
          </w:tcPr>
          <w:p w14:paraId="1C59642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5.78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(5.06-6.58)</w:t>
            </w:r>
          </w:p>
        </w:tc>
      </w:tr>
      <w:tr w:rsidR="00DC3BE3" w:rsidRPr="006C7F64" w14:paraId="01B7F4A7" w14:textId="77777777" w:rsidTr="008D00B2">
        <w:trPr>
          <w:trHeight w:val="350"/>
        </w:trPr>
        <w:tc>
          <w:tcPr>
            <w:tcW w:w="1837" w:type="pct"/>
            <w:vAlign w:val="center"/>
            <w:hideMark/>
          </w:tcPr>
          <w:p w14:paraId="2B09E64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HBV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DNA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≥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log</w:t>
            </w:r>
            <w:r w:rsidRPr="008E2A5F">
              <w:rPr>
                <w:rFonts w:eastAsia="宋体" w:cs="Times New Roman"/>
                <w:sz w:val="24"/>
                <w:vertAlign w:val="subscript"/>
              </w:rPr>
              <w:t>10</w:t>
            </w:r>
            <w:r>
              <w:rPr>
                <w:rFonts w:eastAsia="宋体" w:cs="Times New Roman"/>
                <w:sz w:val="24"/>
                <w:vertAlign w:val="subscript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IU/mL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35D32ED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</w:tr>
      <w:tr w:rsidR="00DC3BE3" w:rsidRPr="006C7F64" w14:paraId="2AECDF21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09314D4A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Pooled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436EC03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253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(37.9%)</w:t>
            </w:r>
          </w:p>
        </w:tc>
        <w:tc>
          <w:tcPr>
            <w:tcW w:w="1054" w:type="pct"/>
            <w:vAlign w:val="center"/>
            <w:hideMark/>
          </w:tcPr>
          <w:p w14:paraId="0AD0CE8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(38.1%)</w:t>
            </w:r>
          </w:p>
        </w:tc>
        <w:tc>
          <w:tcPr>
            <w:tcW w:w="1055" w:type="pct"/>
            <w:vAlign w:val="center"/>
            <w:hideMark/>
          </w:tcPr>
          <w:p w14:paraId="078F98F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381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(38.0%)</w:t>
            </w:r>
          </w:p>
        </w:tc>
      </w:tr>
      <w:tr w:rsidR="00DC3BE3" w:rsidRPr="006C7F64" w14:paraId="778A2F7E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C38B7D3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06F0F46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244/486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(50.2%)</w:t>
            </w:r>
          </w:p>
        </w:tc>
        <w:tc>
          <w:tcPr>
            <w:tcW w:w="1054" w:type="pct"/>
            <w:vAlign w:val="center"/>
            <w:hideMark/>
          </w:tcPr>
          <w:p w14:paraId="64DC78E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123/246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(50.0%)</w:t>
            </w:r>
          </w:p>
        </w:tc>
        <w:tc>
          <w:tcPr>
            <w:tcW w:w="1055" w:type="pct"/>
            <w:vAlign w:val="center"/>
            <w:hideMark/>
          </w:tcPr>
          <w:p w14:paraId="7916B77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367/732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(50.1%)</w:t>
            </w:r>
          </w:p>
        </w:tc>
      </w:tr>
      <w:tr w:rsidR="00DC3BE3" w:rsidRPr="006C7F64" w14:paraId="297B4C72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0B4CE2FF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HBeAg-negative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1FAD0B9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9/180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(5.0%)</w:t>
            </w:r>
          </w:p>
        </w:tc>
        <w:tc>
          <w:tcPr>
            <w:tcW w:w="1054" w:type="pct"/>
            <w:vAlign w:val="center"/>
            <w:hideMark/>
          </w:tcPr>
          <w:p w14:paraId="4CA3114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5/90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(5.6%)</w:t>
            </w:r>
          </w:p>
        </w:tc>
        <w:tc>
          <w:tcPr>
            <w:tcW w:w="1055" w:type="pct"/>
            <w:vAlign w:val="center"/>
            <w:hideMark/>
          </w:tcPr>
          <w:p w14:paraId="26DA8DB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14/270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(5.2%)</w:t>
            </w:r>
          </w:p>
        </w:tc>
      </w:tr>
      <w:tr w:rsidR="00DC3BE3" w:rsidRPr="006C7F64" w14:paraId="2A3C0EAD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7A30764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HBV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genotype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3036327F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DC3BE3" w:rsidRPr="006C7F64" w14:paraId="5C0C0C15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D0BC2D6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B</w:t>
            </w:r>
          </w:p>
        </w:tc>
        <w:tc>
          <w:tcPr>
            <w:tcW w:w="1054" w:type="pct"/>
            <w:vAlign w:val="center"/>
            <w:hideMark/>
          </w:tcPr>
          <w:p w14:paraId="273E6A3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285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(42.8%)</w:t>
            </w:r>
          </w:p>
        </w:tc>
        <w:tc>
          <w:tcPr>
            <w:tcW w:w="1054" w:type="pct"/>
            <w:vAlign w:val="center"/>
            <w:hideMark/>
          </w:tcPr>
          <w:p w14:paraId="207E0EC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143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(42.6%)</w:t>
            </w:r>
          </w:p>
        </w:tc>
        <w:tc>
          <w:tcPr>
            <w:tcW w:w="1055" w:type="pct"/>
            <w:vAlign w:val="center"/>
            <w:hideMark/>
          </w:tcPr>
          <w:p w14:paraId="1F09F51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428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(42.7%)</w:t>
            </w:r>
          </w:p>
        </w:tc>
      </w:tr>
      <w:tr w:rsidR="00DC3BE3" w:rsidRPr="006C7F64" w14:paraId="044DE679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5385938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C</w:t>
            </w:r>
          </w:p>
        </w:tc>
        <w:tc>
          <w:tcPr>
            <w:tcW w:w="1054" w:type="pct"/>
            <w:vAlign w:val="center"/>
            <w:hideMark/>
          </w:tcPr>
          <w:p w14:paraId="6DC3A02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372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(55.9%)</w:t>
            </w:r>
          </w:p>
        </w:tc>
        <w:tc>
          <w:tcPr>
            <w:tcW w:w="1054" w:type="pct"/>
            <w:vAlign w:val="center"/>
            <w:hideMark/>
          </w:tcPr>
          <w:p w14:paraId="04E38D6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187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(55.7%)</w:t>
            </w:r>
          </w:p>
        </w:tc>
        <w:tc>
          <w:tcPr>
            <w:tcW w:w="1055" w:type="pct"/>
            <w:vAlign w:val="center"/>
            <w:hideMark/>
          </w:tcPr>
          <w:p w14:paraId="28B35EF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559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(55.8%)</w:t>
            </w:r>
          </w:p>
        </w:tc>
      </w:tr>
      <w:tr w:rsidR="00DC3BE3" w:rsidRPr="006C7F64" w14:paraId="486D0829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3B8F55CC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Others</w:t>
            </w:r>
          </w:p>
        </w:tc>
        <w:tc>
          <w:tcPr>
            <w:tcW w:w="1054" w:type="pct"/>
            <w:vAlign w:val="center"/>
            <w:hideMark/>
          </w:tcPr>
          <w:p w14:paraId="04DB428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(1.4%)</w:t>
            </w:r>
          </w:p>
        </w:tc>
        <w:tc>
          <w:tcPr>
            <w:tcW w:w="1054" w:type="pct"/>
            <w:vAlign w:val="center"/>
            <w:hideMark/>
          </w:tcPr>
          <w:p w14:paraId="6A9449E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(1.8%)</w:t>
            </w:r>
          </w:p>
        </w:tc>
        <w:tc>
          <w:tcPr>
            <w:tcW w:w="1055" w:type="pct"/>
            <w:vAlign w:val="center"/>
            <w:hideMark/>
          </w:tcPr>
          <w:p w14:paraId="55E4DFD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(1.5%)</w:t>
            </w:r>
          </w:p>
        </w:tc>
      </w:tr>
      <w:tr w:rsidR="00DC3BE3" w:rsidRPr="006C7F64" w14:paraId="1DBDA682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9DEF5C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ALT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(U/L)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198851F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</w:tr>
      <w:tr w:rsidR="00DC3BE3" w:rsidRPr="006C7F64" w14:paraId="2BBEC43E" w14:textId="77777777" w:rsidTr="008D00B2">
        <w:trPr>
          <w:trHeight w:val="310"/>
        </w:trPr>
        <w:tc>
          <w:tcPr>
            <w:tcW w:w="1837" w:type="pct"/>
            <w:vAlign w:val="center"/>
          </w:tcPr>
          <w:p w14:paraId="0FA99608" w14:textId="77777777" w:rsidR="00DC3BE3" w:rsidRPr="008E2A5F" w:rsidRDefault="00DC3BE3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Pooled</w:t>
            </w:r>
          </w:p>
        </w:tc>
        <w:tc>
          <w:tcPr>
            <w:tcW w:w="1054" w:type="pct"/>
            <w:vAlign w:val="center"/>
          </w:tcPr>
          <w:p w14:paraId="77ED6B5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98.6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(65-163)</w:t>
            </w:r>
          </w:p>
        </w:tc>
        <w:tc>
          <w:tcPr>
            <w:tcW w:w="1054" w:type="pct"/>
            <w:vAlign w:val="center"/>
          </w:tcPr>
          <w:p w14:paraId="6A3C293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99.95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(62.7-157.5)</w:t>
            </w:r>
          </w:p>
        </w:tc>
        <w:tc>
          <w:tcPr>
            <w:tcW w:w="1055" w:type="pct"/>
            <w:vAlign w:val="center"/>
          </w:tcPr>
          <w:p w14:paraId="21072FB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(64-162)</w:t>
            </w:r>
          </w:p>
        </w:tc>
      </w:tr>
      <w:tr w:rsidR="00DC3BE3" w:rsidRPr="006C7F64" w14:paraId="3FEFD169" w14:textId="77777777" w:rsidTr="008D00B2">
        <w:trPr>
          <w:trHeight w:val="310"/>
        </w:trPr>
        <w:tc>
          <w:tcPr>
            <w:tcW w:w="1837" w:type="pct"/>
            <w:noWrap/>
            <w:vAlign w:val="bottom"/>
            <w:hideMark/>
          </w:tcPr>
          <w:p w14:paraId="507B57EA" w14:textId="77777777" w:rsidR="00DC3BE3" w:rsidRPr="008E2A5F" w:rsidRDefault="00DC3BE3" w:rsidP="008D00B2">
            <w:pPr>
              <w:adjustRightInd w:val="0"/>
              <w:snapToGrid w:val="0"/>
              <w:ind w:firstLineChars="100" w:firstLine="24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</w:p>
        </w:tc>
        <w:tc>
          <w:tcPr>
            <w:tcW w:w="1054" w:type="pct"/>
            <w:vAlign w:val="center"/>
            <w:hideMark/>
          </w:tcPr>
          <w:p w14:paraId="26E87A3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104.5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(68-167.3)</w:t>
            </w:r>
          </w:p>
        </w:tc>
        <w:tc>
          <w:tcPr>
            <w:tcW w:w="1054" w:type="pct"/>
            <w:vAlign w:val="center"/>
            <w:hideMark/>
          </w:tcPr>
          <w:p w14:paraId="3FA61B8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101.45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(69-164)</w:t>
            </w:r>
          </w:p>
        </w:tc>
        <w:tc>
          <w:tcPr>
            <w:tcW w:w="1055" w:type="pct"/>
            <w:vAlign w:val="center"/>
            <w:hideMark/>
          </w:tcPr>
          <w:p w14:paraId="627BBC3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103.35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(68-167)</w:t>
            </w:r>
          </w:p>
        </w:tc>
      </w:tr>
      <w:tr w:rsidR="00DC3BE3" w:rsidRPr="006C7F64" w14:paraId="14AE5121" w14:textId="77777777" w:rsidTr="008D00B2">
        <w:trPr>
          <w:trHeight w:val="310"/>
        </w:trPr>
        <w:tc>
          <w:tcPr>
            <w:tcW w:w="1837" w:type="pct"/>
            <w:noWrap/>
            <w:vAlign w:val="center"/>
            <w:hideMark/>
          </w:tcPr>
          <w:p w14:paraId="6E417DA9" w14:textId="77777777" w:rsidR="00DC3BE3" w:rsidRPr="008E2A5F" w:rsidRDefault="00DC3BE3" w:rsidP="008D00B2">
            <w:pPr>
              <w:adjustRightInd w:val="0"/>
              <w:snapToGrid w:val="0"/>
              <w:ind w:firstLineChars="100" w:firstLine="24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lastRenderedPageBreak/>
              <w:t>HBeAg-negative</w:t>
            </w:r>
          </w:p>
        </w:tc>
        <w:tc>
          <w:tcPr>
            <w:tcW w:w="1054" w:type="pct"/>
            <w:vAlign w:val="center"/>
            <w:hideMark/>
          </w:tcPr>
          <w:p w14:paraId="617EB86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87.5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(60.75-153.1)</w:t>
            </w:r>
          </w:p>
        </w:tc>
        <w:tc>
          <w:tcPr>
            <w:tcW w:w="1054" w:type="pct"/>
            <w:vAlign w:val="center"/>
            <w:hideMark/>
          </w:tcPr>
          <w:p w14:paraId="5575129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82.5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(53-146.2)</w:t>
            </w:r>
          </w:p>
        </w:tc>
        <w:tc>
          <w:tcPr>
            <w:tcW w:w="1055" w:type="pct"/>
            <w:vAlign w:val="center"/>
            <w:hideMark/>
          </w:tcPr>
          <w:p w14:paraId="07564C0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84.8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(58.3-148)</w:t>
            </w:r>
          </w:p>
        </w:tc>
      </w:tr>
      <w:tr w:rsidR="00DC3BE3" w:rsidRPr="006C7F64" w14:paraId="6DC8FD84" w14:textId="77777777" w:rsidTr="008D00B2">
        <w:trPr>
          <w:trHeight w:val="320"/>
        </w:trPr>
        <w:tc>
          <w:tcPr>
            <w:tcW w:w="1837" w:type="pct"/>
            <w:vAlign w:val="center"/>
            <w:hideMark/>
          </w:tcPr>
          <w:p w14:paraId="7E6B0A2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ALT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&gt;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ULN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baseline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(N/%)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6B711F4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</w:tr>
      <w:tr w:rsidR="00DC3BE3" w:rsidRPr="006C7F64" w14:paraId="5472DA2E" w14:textId="77777777" w:rsidTr="008D00B2">
        <w:trPr>
          <w:trHeight w:val="320"/>
        </w:trPr>
        <w:tc>
          <w:tcPr>
            <w:tcW w:w="1837" w:type="pct"/>
            <w:vAlign w:val="center"/>
          </w:tcPr>
          <w:p w14:paraId="52B2A95D" w14:textId="77777777" w:rsidR="00DC3BE3" w:rsidRPr="008E2A5F" w:rsidRDefault="00DC3BE3" w:rsidP="008D00B2">
            <w:pPr>
              <w:adjustRightInd w:val="0"/>
              <w:snapToGrid w:val="0"/>
              <w:ind w:leftChars="100" w:left="22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Pooled</w:t>
            </w:r>
          </w:p>
        </w:tc>
        <w:tc>
          <w:tcPr>
            <w:tcW w:w="1054" w:type="pct"/>
            <w:vAlign w:val="center"/>
          </w:tcPr>
          <w:p w14:paraId="2B182AB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614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(92.2%)</w:t>
            </w:r>
          </w:p>
        </w:tc>
        <w:tc>
          <w:tcPr>
            <w:tcW w:w="1054" w:type="pct"/>
            <w:vAlign w:val="center"/>
          </w:tcPr>
          <w:p w14:paraId="592C088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297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(88.4%)</w:t>
            </w:r>
          </w:p>
        </w:tc>
        <w:tc>
          <w:tcPr>
            <w:tcW w:w="1055" w:type="pct"/>
            <w:vAlign w:val="center"/>
          </w:tcPr>
          <w:p w14:paraId="094FC63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911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(90.9%)</w:t>
            </w:r>
          </w:p>
        </w:tc>
      </w:tr>
      <w:tr w:rsidR="00DC3BE3" w:rsidRPr="006C7F64" w14:paraId="12586991" w14:textId="77777777" w:rsidTr="008D00B2">
        <w:trPr>
          <w:trHeight w:val="320"/>
        </w:trPr>
        <w:tc>
          <w:tcPr>
            <w:tcW w:w="1837" w:type="pct"/>
            <w:noWrap/>
            <w:vAlign w:val="center"/>
            <w:hideMark/>
          </w:tcPr>
          <w:p w14:paraId="55290022" w14:textId="77777777" w:rsidR="00DC3BE3" w:rsidRPr="008E2A5F" w:rsidRDefault="00DC3BE3" w:rsidP="008D00B2">
            <w:pPr>
              <w:adjustRightInd w:val="0"/>
              <w:snapToGrid w:val="0"/>
              <w:ind w:firstLineChars="100" w:firstLine="24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</w:p>
        </w:tc>
        <w:tc>
          <w:tcPr>
            <w:tcW w:w="1054" w:type="pct"/>
            <w:vAlign w:val="center"/>
            <w:hideMark/>
          </w:tcPr>
          <w:p w14:paraId="20F707F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451/486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(92.8%)</w:t>
            </w:r>
          </w:p>
        </w:tc>
        <w:tc>
          <w:tcPr>
            <w:tcW w:w="1054" w:type="pct"/>
            <w:vAlign w:val="center"/>
            <w:hideMark/>
          </w:tcPr>
          <w:p w14:paraId="3FFA8DD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226/246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(91.9%)</w:t>
            </w:r>
          </w:p>
        </w:tc>
        <w:tc>
          <w:tcPr>
            <w:tcW w:w="1055" w:type="pct"/>
            <w:vAlign w:val="center"/>
            <w:hideMark/>
          </w:tcPr>
          <w:p w14:paraId="0A204088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677/732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(92.5%)</w:t>
            </w:r>
          </w:p>
        </w:tc>
      </w:tr>
      <w:tr w:rsidR="00DC3BE3" w:rsidRPr="006C7F64" w14:paraId="5954A468" w14:textId="77777777" w:rsidTr="008D00B2">
        <w:trPr>
          <w:trHeight w:val="320"/>
        </w:trPr>
        <w:tc>
          <w:tcPr>
            <w:tcW w:w="1837" w:type="pct"/>
            <w:noWrap/>
            <w:vAlign w:val="center"/>
            <w:hideMark/>
          </w:tcPr>
          <w:p w14:paraId="64D69014" w14:textId="77777777" w:rsidR="00DC3BE3" w:rsidRPr="008E2A5F" w:rsidRDefault="00DC3BE3" w:rsidP="008D00B2">
            <w:pPr>
              <w:adjustRightInd w:val="0"/>
              <w:snapToGrid w:val="0"/>
              <w:ind w:firstLineChars="100" w:firstLine="24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HBeAg-negative</w:t>
            </w:r>
          </w:p>
        </w:tc>
        <w:tc>
          <w:tcPr>
            <w:tcW w:w="1054" w:type="pct"/>
            <w:vAlign w:val="center"/>
            <w:hideMark/>
          </w:tcPr>
          <w:p w14:paraId="1662362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163/180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(90.6%)</w:t>
            </w:r>
          </w:p>
        </w:tc>
        <w:tc>
          <w:tcPr>
            <w:tcW w:w="1054" w:type="pct"/>
            <w:vAlign w:val="center"/>
            <w:hideMark/>
          </w:tcPr>
          <w:p w14:paraId="50C3EBF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71/90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(78.9%)</w:t>
            </w:r>
          </w:p>
        </w:tc>
        <w:tc>
          <w:tcPr>
            <w:tcW w:w="1055" w:type="pct"/>
            <w:vAlign w:val="center"/>
            <w:hideMark/>
          </w:tcPr>
          <w:p w14:paraId="0740BB0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234/270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(86.7%)</w:t>
            </w:r>
          </w:p>
        </w:tc>
      </w:tr>
      <w:tr w:rsidR="00DC3BE3" w:rsidRPr="006C7F64" w14:paraId="23F096C3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F341CF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Previous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cirrhosis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b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2D4750B9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DC3BE3" w:rsidRPr="006C7F64" w14:paraId="5784DA75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FD46A3D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Pooled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72FC973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(18.8%)</w:t>
            </w:r>
          </w:p>
        </w:tc>
        <w:tc>
          <w:tcPr>
            <w:tcW w:w="1054" w:type="pct"/>
            <w:vAlign w:val="center"/>
            <w:hideMark/>
          </w:tcPr>
          <w:p w14:paraId="5F42699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(19.6%)</w:t>
            </w:r>
          </w:p>
        </w:tc>
        <w:tc>
          <w:tcPr>
            <w:tcW w:w="1055" w:type="pct"/>
            <w:vAlign w:val="center"/>
            <w:hideMark/>
          </w:tcPr>
          <w:p w14:paraId="11D946F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191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(19.1%)</w:t>
            </w:r>
          </w:p>
        </w:tc>
      </w:tr>
      <w:tr w:rsidR="00DC3BE3" w:rsidRPr="006C7F64" w14:paraId="4B58699F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EBD9B17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HBeAg-positive</w:t>
            </w:r>
          </w:p>
        </w:tc>
        <w:tc>
          <w:tcPr>
            <w:tcW w:w="1054" w:type="pct"/>
            <w:noWrap/>
            <w:vAlign w:val="center"/>
            <w:hideMark/>
          </w:tcPr>
          <w:p w14:paraId="6AF37A0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95/486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(19.5%)</w:t>
            </w:r>
          </w:p>
        </w:tc>
        <w:tc>
          <w:tcPr>
            <w:tcW w:w="1054" w:type="pct"/>
            <w:noWrap/>
            <w:vAlign w:val="center"/>
            <w:hideMark/>
          </w:tcPr>
          <w:p w14:paraId="199C382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48/246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(19.5%)</w:t>
            </w:r>
          </w:p>
        </w:tc>
        <w:tc>
          <w:tcPr>
            <w:tcW w:w="1055" w:type="pct"/>
            <w:noWrap/>
            <w:vAlign w:val="center"/>
            <w:hideMark/>
          </w:tcPr>
          <w:p w14:paraId="192213A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143/732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(19.5%)</w:t>
            </w:r>
          </w:p>
        </w:tc>
      </w:tr>
      <w:tr w:rsidR="00DC3BE3" w:rsidRPr="006C7F64" w14:paraId="10E6A697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9D8D9F2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HBeAg-negative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noWrap/>
            <w:vAlign w:val="center"/>
            <w:hideMark/>
          </w:tcPr>
          <w:p w14:paraId="2F2DE2F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30/180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(16.7%)</w:t>
            </w:r>
          </w:p>
        </w:tc>
        <w:tc>
          <w:tcPr>
            <w:tcW w:w="1054" w:type="pct"/>
            <w:noWrap/>
            <w:vAlign w:val="center"/>
            <w:hideMark/>
          </w:tcPr>
          <w:p w14:paraId="0E68231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18/90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(20.0%)</w:t>
            </w:r>
          </w:p>
        </w:tc>
        <w:tc>
          <w:tcPr>
            <w:tcW w:w="1055" w:type="pct"/>
            <w:noWrap/>
            <w:vAlign w:val="center"/>
            <w:hideMark/>
          </w:tcPr>
          <w:p w14:paraId="4C165C7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48/270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(17.8%)</w:t>
            </w:r>
          </w:p>
        </w:tc>
      </w:tr>
      <w:tr w:rsidR="00DC3BE3" w:rsidRPr="006C7F64" w14:paraId="7C914A59" w14:textId="77777777" w:rsidTr="008D00B2">
        <w:trPr>
          <w:trHeight w:val="320"/>
        </w:trPr>
        <w:tc>
          <w:tcPr>
            <w:tcW w:w="1837" w:type="pct"/>
            <w:vAlign w:val="center"/>
            <w:hideMark/>
          </w:tcPr>
          <w:p w14:paraId="7B91A26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Treated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HBV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c</w:t>
            </w:r>
          </w:p>
        </w:tc>
        <w:tc>
          <w:tcPr>
            <w:tcW w:w="1054" w:type="pct"/>
            <w:vAlign w:val="center"/>
            <w:hideMark/>
          </w:tcPr>
          <w:p w14:paraId="1D10486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1054" w:type="pct"/>
            <w:vAlign w:val="center"/>
            <w:hideMark/>
          </w:tcPr>
          <w:p w14:paraId="14B72C95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1055" w:type="pct"/>
            <w:vAlign w:val="center"/>
            <w:hideMark/>
          </w:tcPr>
          <w:p w14:paraId="5235FF55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DC3BE3" w:rsidRPr="006C7F64" w14:paraId="0035F379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6CDE3CCE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Any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interferon</w:t>
            </w:r>
          </w:p>
        </w:tc>
        <w:tc>
          <w:tcPr>
            <w:tcW w:w="1054" w:type="pct"/>
            <w:vAlign w:val="center"/>
            <w:hideMark/>
          </w:tcPr>
          <w:p w14:paraId="24CF8A1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(6.9%)</w:t>
            </w:r>
          </w:p>
        </w:tc>
        <w:tc>
          <w:tcPr>
            <w:tcW w:w="1054" w:type="pct"/>
            <w:vAlign w:val="center"/>
            <w:hideMark/>
          </w:tcPr>
          <w:p w14:paraId="48F0A948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(6.0%)</w:t>
            </w:r>
          </w:p>
        </w:tc>
        <w:tc>
          <w:tcPr>
            <w:tcW w:w="1055" w:type="pct"/>
            <w:vAlign w:val="center"/>
            <w:hideMark/>
          </w:tcPr>
          <w:p w14:paraId="539B19B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(6.6%)</w:t>
            </w:r>
          </w:p>
        </w:tc>
      </w:tr>
      <w:tr w:rsidR="00DC3BE3" w:rsidRPr="006C7F64" w14:paraId="19A3E69A" w14:textId="77777777" w:rsidTr="008D00B2">
        <w:trPr>
          <w:trHeight w:val="620"/>
        </w:trPr>
        <w:tc>
          <w:tcPr>
            <w:tcW w:w="1837" w:type="pct"/>
            <w:vAlign w:val="center"/>
            <w:hideMark/>
          </w:tcPr>
          <w:p w14:paraId="30CA1DB5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Any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nucleot(s)ide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analogs</w:t>
            </w:r>
          </w:p>
        </w:tc>
        <w:tc>
          <w:tcPr>
            <w:tcW w:w="1054" w:type="pct"/>
            <w:vAlign w:val="center"/>
            <w:hideMark/>
          </w:tcPr>
          <w:p w14:paraId="54E27DC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190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(28.5%)</w:t>
            </w:r>
          </w:p>
        </w:tc>
        <w:tc>
          <w:tcPr>
            <w:tcW w:w="1054" w:type="pct"/>
            <w:vAlign w:val="center"/>
            <w:hideMark/>
          </w:tcPr>
          <w:p w14:paraId="1000E98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(28.6%)</w:t>
            </w:r>
          </w:p>
        </w:tc>
        <w:tc>
          <w:tcPr>
            <w:tcW w:w="1055" w:type="pct"/>
            <w:vAlign w:val="center"/>
            <w:hideMark/>
          </w:tcPr>
          <w:p w14:paraId="0E0CBC6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286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(28.5%)</w:t>
            </w:r>
          </w:p>
        </w:tc>
      </w:tr>
      <w:tr w:rsidR="00DC3BE3" w:rsidRPr="006C7F64" w14:paraId="720F6431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3FD2641B" w14:textId="77777777" w:rsidR="00DC3BE3" w:rsidRPr="008E2A5F" w:rsidRDefault="00DC3BE3" w:rsidP="008D00B2">
            <w:pPr>
              <w:adjustRightInd w:val="0"/>
              <w:snapToGrid w:val="0"/>
              <w:ind w:firstLineChars="400" w:firstLine="96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Entecavir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0557489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100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(15.0%)</w:t>
            </w:r>
          </w:p>
        </w:tc>
        <w:tc>
          <w:tcPr>
            <w:tcW w:w="1054" w:type="pct"/>
            <w:vAlign w:val="center"/>
            <w:hideMark/>
          </w:tcPr>
          <w:p w14:paraId="00876D3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(17.3%)</w:t>
            </w:r>
          </w:p>
        </w:tc>
        <w:tc>
          <w:tcPr>
            <w:tcW w:w="1055" w:type="pct"/>
            <w:vAlign w:val="center"/>
            <w:hideMark/>
          </w:tcPr>
          <w:p w14:paraId="6676AE7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158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(15.8%)</w:t>
            </w:r>
          </w:p>
        </w:tc>
      </w:tr>
      <w:tr w:rsidR="00DC3BE3" w:rsidRPr="006C7F64" w14:paraId="70E97EFD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3839F1D" w14:textId="77777777" w:rsidR="00DC3BE3" w:rsidRPr="008E2A5F" w:rsidRDefault="00DC3BE3" w:rsidP="008D00B2">
            <w:pPr>
              <w:adjustRightInd w:val="0"/>
              <w:snapToGrid w:val="0"/>
              <w:ind w:firstLineChars="400" w:firstLine="96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Adefovir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7B7C0A5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(7.4%)</w:t>
            </w:r>
          </w:p>
        </w:tc>
        <w:tc>
          <w:tcPr>
            <w:tcW w:w="1054" w:type="pct"/>
            <w:vAlign w:val="center"/>
            <w:hideMark/>
          </w:tcPr>
          <w:p w14:paraId="60A6115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23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(6.8%)</w:t>
            </w:r>
          </w:p>
        </w:tc>
        <w:tc>
          <w:tcPr>
            <w:tcW w:w="1055" w:type="pct"/>
            <w:vAlign w:val="center"/>
            <w:hideMark/>
          </w:tcPr>
          <w:p w14:paraId="5DF3E6C8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72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(7.2%)</w:t>
            </w:r>
          </w:p>
        </w:tc>
      </w:tr>
      <w:tr w:rsidR="00DC3BE3" w:rsidRPr="006C7F64" w14:paraId="3B7A3DB4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48B9A52C" w14:textId="77777777" w:rsidR="00DC3BE3" w:rsidRPr="008E2A5F" w:rsidRDefault="00DC3BE3" w:rsidP="008D00B2">
            <w:pPr>
              <w:adjustRightInd w:val="0"/>
              <w:snapToGrid w:val="0"/>
              <w:ind w:firstLineChars="400" w:firstLine="96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TDF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15026D2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37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(5.6%)</w:t>
            </w:r>
          </w:p>
        </w:tc>
        <w:tc>
          <w:tcPr>
            <w:tcW w:w="1054" w:type="pct"/>
            <w:vAlign w:val="center"/>
            <w:hideMark/>
          </w:tcPr>
          <w:p w14:paraId="1922B87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10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(3.0%)</w:t>
            </w:r>
          </w:p>
        </w:tc>
        <w:tc>
          <w:tcPr>
            <w:tcW w:w="1055" w:type="pct"/>
            <w:vAlign w:val="center"/>
            <w:hideMark/>
          </w:tcPr>
          <w:p w14:paraId="640C007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47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(4.7%)</w:t>
            </w:r>
          </w:p>
        </w:tc>
      </w:tr>
      <w:tr w:rsidR="00DC3BE3" w:rsidRPr="006C7F64" w14:paraId="325BD360" w14:textId="77777777" w:rsidTr="008D00B2">
        <w:trPr>
          <w:trHeight w:val="743"/>
        </w:trPr>
        <w:tc>
          <w:tcPr>
            <w:tcW w:w="1837" w:type="pct"/>
            <w:vAlign w:val="center"/>
            <w:hideMark/>
          </w:tcPr>
          <w:p w14:paraId="5B9DFAE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Nonindexed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eGFR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CKD-EPIscr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equation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(mL/min)</w:t>
            </w:r>
          </w:p>
        </w:tc>
        <w:tc>
          <w:tcPr>
            <w:tcW w:w="1054" w:type="pct"/>
            <w:vAlign w:val="center"/>
            <w:hideMark/>
          </w:tcPr>
          <w:p w14:paraId="56AE776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111.73</w:t>
            </w:r>
          </w:p>
        </w:tc>
        <w:tc>
          <w:tcPr>
            <w:tcW w:w="1054" w:type="pct"/>
            <w:vAlign w:val="center"/>
            <w:hideMark/>
          </w:tcPr>
          <w:p w14:paraId="7E28B42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111.47</w:t>
            </w:r>
          </w:p>
        </w:tc>
        <w:tc>
          <w:tcPr>
            <w:tcW w:w="1055" w:type="pct"/>
            <w:noWrap/>
            <w:vAlign w:val="center"/>
            <w:hideMark/>
          </w:tcPr>
          <w:p w14:paraId="7A949D1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111.70</w:t>
            </w:r>
          </w:p>
        </w:tc>
      </w:tr>
      <w:tr w:rsidR="00DC3BE3" w:rsidRPr="006C7F64" w14:paraId="6FC7821B" w14:textId="77777777" w:rsidTr="008D00B2">
        <w:trPr>
          <w:trHeight w:val="420"/>
        </w:trPr>
        <w:tc>
          <w:tcPr>
            <w:tcW w:w="1837" w:type="pct"/>
            <w:vAlign w:val="center"/>
            <w:hideMark/>
          </w:tcPr>
          <w:p w14:paraId="07C8D72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Creatinine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clearance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cg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equation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(mL/min)</w:t>
            </w:r>
          </w:p>
        </w:tc>
        <w:tc>
          <w:tcPr>
            <w:tcW w:w="1054" w:type="pct"/>
            <w:vAlign w:val="center"/>
            <w:hideMark/>
          </w:tcPr>
          <w:p w14:paraId="3EF1CAE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115.51</w:t>
            </w:r>
          </w:p>
        </w:tc>
        <w:tc>
          <w:tcPr>
            <w:tcW w:w="1054" w:type="pct"/>
            <w:vAlign w:val="center"/>
            <w:hideMark/>
          </w:tcPr>
          <w:p w14:paraId="5D00F4E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114.33</w:t>
            </w:r>
          </w:p>
        </w:tc>
        <w:tc>
          <w:tcPr>
            <w:tcW w:w="1055" w:type="pct"/>
            <w:noWrap/>
            <w:vAlign w:val="center"/>
            <w:hideMark/>
          </w:tcPr>
          <w:p w14:paraId="08C1041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114.85</w:t>
            </w:r>
          </w:p>
        </w:tc>
      </w:tr>
      <w:tr w:rsidR="00DC3BE3" w:rsidRPr="006C7F64" w14:paraId="63EC9913" w14:textId="77777777" w:rsidTr="008D00B2">
        <w:trPr>
          <w:trHeight w:val="620"/>
        </w:trPr>
        <w:tc>
          <w:tcPr>
            <w:tcW w:w="1837" w:type="pct"/>
            <w:vAlign w:val="center"/>
            <w:hideMark/>
          </w:tcPr>
          <w:p w14:paraId="53D7412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BMD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DXA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(g/cm²)</w:t>
            </w:r>
          </w:p>
        </w:tc>
        <w:tc>
          <w:tcPr>
            <w:tcW w:w="3163" w:type="pct"/>
            <w:gridSpan w:val="3"/>
            <w:vAlign w:val="center"/>
            <w:hideMark/>
          </w:tcPr>
          <w:p w14:paraId="03EADB5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</w:tr>
      <w:tr w:rsidR="00DC3BE3" w:rsidRPr="006C7F64" w14:paraId="0CE270F6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06B96844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Total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hip</w:t>
            </w:r>
          </w:p>
        </w:tc>
        <w:tc>
          <w:tcPr>
            <w:tcW w:w="1054" w:type="pct"/>
            <w:vAlign w:val="center"/>
            <w:hideMark/>
          </w:tcPr>
          <w:p w14:paraId="11E19D9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0.94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(0.86-1.02)</w:t>
            </w:r>
          </w:p>
        </w:tc>
        <w:tc>
          <w:tcPr>
            <w:tcW w:w="1054" w:type="pct"/>
            <w:vAlign w:val="center"/>
            <w:hideMark/>
          </w:tcPr>
          <w:p w14:paraId="1766AB9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0.94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(0.86-1.02)</w:t>
            </w:r>
          </w:p>
        </w:tc>
        <w:tc>
          <w:tcPr>
            <w:tcW w:w="1055" w:type="pct"/>
            <w:vAlign w:val="center"/>
            <w:hideMark/>
          </w:tcPr>
          <w:p w14:paraId="58D20A4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0.94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(0.86-1.02)</w:t>
            </w:r>
          </w:p>
        </w:tc>
      </w:tr>
      <w:tr w:rsidR="00DC3BE3" w:rsidRPr="006C7F64" w14:paraId="7579D2C6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6614554C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Femur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neck</w:t>
            </w:r>
          </w:p>
        </w:tc>
        <w:tc>
          <w:tcPr>
            <w:tcW w:w="1054" w:type="pct"/>
            <w:vAlign w:val="center"/>
            <w:hideMark/>
          </w:tcPr>
          <w:p w14:paraId="35192CD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0.84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(0.75-0.94)</w:t>
            </w:r>
          </w:p>
        </w:tc>
        <w:tc>
          <w:tcPr>
            <w:tcW w:w="1054" w:type="pct"/>
            <w:vAlign w:val="center"/>
            <w:hideMark/>
          </w:tcPr>
          <w:p w14:paraId="21D9DA9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0.84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(0.75-0.95)</w:t>
            </w:r>
          </w:p>
        </w:tc>
        <w:tc>
          <w:tcPr>
            <w:tcW w:w="1055" w:type="pct"/>
            <w:vAlign w:val="center"/>
            <w:hideMark/>
          </w:tcPr>
          <w:p w14:paraId="3DA4C72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0.84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(0.75-0.94)</w:t>
            </w:r>
          </w:p>
        </w:tc>
      </w:tr>
      <w:tr w:rsidR="00DC3BE3" w:rsidRPr="006C7F64" w14:paraId="507B9C22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D97F66E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Lumbar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spine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(L1-L4)</w:t>
            </w:r>
          </w:p>
        </w:tc>
        <w:tc>
          <w:tcPr>
            <w:tcW w:w="1054" w:type="pct"/>
            <w:vAlign w:val="center"/>
            <w:hideMark/>
          </w:tcPr>
          <w:p w14:paraId="29D5C79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(0.91-1.11)</w:t>
            </w:r>
          </w:p>
        </w:tc>
        <w:tc>
          <w:tcPr>
            <w:tcW w:w="1054" w:type="pct"/>
            <w:vAlign w:val="center"/>
            <w:hideMark/>
          </w:tcPr>
          <w:p w14:paraId="09566F0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(0.92-1.1)</w:t>
            </w:r>
          </w:p>
        </w:tc>
        <w:tc>
          <w:tcPr>
            <w:tcW w:w="1055" w:type="pct"/>
            <w:vAlign w:val="center"/>
            <w:hideMark/>
          </w:tcPr>
          <w:p w14:paraId="53ED44F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(0.92-1.11)</w:t>
            </w:r>
          </w:p>
        </w:tc>
      </w:tr>
      <w:tr w:rsidR="00DC3BE3" w:rsidRPr="006C7F64" w14:paraId="023AAADA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3121AD7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lastRenderedPageBreak/>
              <w:t>Osteopenia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ISCD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standard</w:t>
            </w:r>
          </w:p>
        </w:tc>
        <w:tc>
          <w:tcPr>
            <w:tcW w:w="1054" w:type="pct"/>
            <w:vAlign w:val="center"/>
          </w:tcPr>
          <w:p w14:paraId="7408F516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85/664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(12.8%)</w:t>
            </w:r>
          </w:p>
        </w:tc>
        <w:tc>
          <w:tcPr>
            <w:tcW w:w="1054" w:type="pct"/>
            <w:vAlign w:val="center"/>
          </w:tcPr>
          <w:p w14:paraId="16AF500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34/331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(10.3%)</w:t>
            </w:r>
          </w:p>
        </w:tc>
        <w:tc>
          <w:tcPr>
            <w:tcW w:w="1055" w:type="pct"/>
            <w:vAlign w:val="center"/>
          </w:tcPr>
          <w:p w14:paraId="5E9E83F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119/995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(12.0%)</w:t>
            </w:r>
          </w:p>
        </w:tc>
      </w:tr>
      <w:tr w:rsidR="00DC3BE3" w:rsidRPr="006C7F64" w14:paraId="47FD582C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FB91F2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Osteoporosis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ISCD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standard</w:t>
            </w:r>
          </w:p>
        </w:tc>
        <w:tc>
          <w:tcPr>
            <w:tcW w:w="1054" w:type="pct"/>
            <w:vAlign w:val="center"/>
          </w:tcPr>
          <w:p w14:paraId="1BEDBABF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6/664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(0.9%)</w:t>
            </w:r>
          </w:p>
        </w:tc>
        <w:tc>
          <w:tcPr>
            <w:tcW w:w="1054" w:type="pct"/>
            <w:vAlign w:val="center"/>
          </w:tcPr>
          <w:p w14:paraId="0A22011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3/331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(0.9%)</w:t>
            </w:r>
          </w:p>
        </w:tc>
        <w:tc>
          <w:tcPr>
            <w:tcW w:w="1055" w:type="pct"/>
            <w:vAlign w:val="center"/>
          </w:tcPr>
          <w:p w14:paraId="5591733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9/995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(0.9%)</w:t>
            </w:r>
          </w:p>
        </w:tc>
      </w:tr>
      <w:tr w:rsidR="00DC3BE3" w:rsidRPr="006C7F64" w14:paraId="01EDCEB3" w14:textId="77777777" w:rsidTr="008D00B2">
        <w:trPr>
          <w:trHeight w:val="320"/>
        </w:trPr>
        <w:tc>
          <w:tcPr>
            <w:tcW w:w="1837" w:type="pct"/>
            <w:vAlign w:val="center"/>
            <w:hideMark/>
          </w:tcPr>
          <w:p w14:paraId="5D2C785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Comorbidities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d</w:t>
            </w:r>
          </w:p>
        </w:tc>
        <w:tc>
          <w:tcPr>
            <w:tcW w:w="1054" w:type="pct"/>
            <w:vAlign w:val="center"/>
            <w:hideMark/>
          </w:tcPr>
          <w:p w14:paraId="0E123C3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</w:p>
        </w:tc>
        <w:tc>
          <w:tcPr>
            <w:tcW w:w="1054" w:type="pct"/>
            <w:vAlign w:val="center"/>
            <w:hideMark/>
          </w:tcPr>
          <w:p w14:paraId="6C9DA954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1055" w:type="pct"/>
            <w:noWrap/>
            <w:vAlign w:val="bottom"/>
            <w:hideMark/>
          </w:tcPr>
          <w:p w14:paraId="7775EC0E" w14:textId="77777777" w:rsidR="00DC3BE3" w:rsidRPr="006C7F64" w:rsidRDefault="00DC3BE3" w:rsidP="008D00B2">
            <w:pPr>
              <w:adjustRightInd w:val="0"/>
              <w:snapToGrid w:val="0"/>
              <w:rPr>
                <w:rFonts w:cs="Times New Roman"/>
                <w:sz w:val="24"/>
              </w:rPr>
            </w:pPr>
          </w:p>
        </w:tc>
      </w:tr>
      <w:tr w:rsidR="00DC3BE3" w:rsidRPr="006C7F64" w14:paraId="7363968C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1B1F5503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Diabetes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mellitus</w:t>
            </w:r>
          </w:p>
        </w:tc>
        <w:tc>
          <w:tcPr>
            <w:tcW w:w="1054" w:type="pct"/>
            <w:vAlign w:val="center"/>
            <w:hideMark/>
          </w:tcPr>
          <w:p w14:paraId="1C0D1F7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(2.7%)</w:t>
            </w:r>
          </w:p>
        </w:tc>
        <w:tc>
          <w:tcPr>
            <w:tcW w:w="1054" w:type="pct"/>
            <w:vAlign w:val="center"/>
            <w:hideMark/>
          </w:tcPr>
          <w:p w14:paraId="3E7D251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(2.4%)</w:t>
            </w:r>
          </w:p>
        </w:tc>
        <w:tc>
          <w:tcPr>
            <w:tcW w:w="1055" w:type="pct"/>
            <w:noWrap/>
            <w:vAlign w:val="bottom"/>
            <w:hideMark/>
          </w:tcPr>
          <w:p w14:paraId="6204F62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(2.6%)</w:t>
            </w:r>
          </w:p>
        </w:tc>
      </w:tr>
      <w:tr w:rsidR="00DC3BE3" w:rsidRPr="006C7F64" w14:paraId="23E2E7B8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4E936009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Dyslipidemia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  <w:hideMark/>
          </w:tcPr>
          <w:p w14:paraId="06D817C2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126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(18.9%)</w:t>
            </w:r>
          </w:p>
        </w:tc>
        <w:tc>
          <w:tcPr>
            <w:tcW w:w="1054" w:type="pct"/>
            <w:vAlign w:val="center"/>
            <w:hideMark/>
          </w:tcPr>
          <w:p w14:paraId="2B1422D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48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(14.3%)</w:t>
            </w:r>
          </w:p>
        </w:tc>
        <w:tc>
          <w:tcPr>
            <w:tcW w:w="1055" w:type="pct"/>
            <w:noWrap/>
            <w:vAlign w:val="bottom"/>
            <w:hideMark/>
          </w:tcPr>
          <w:p w14:paraId="3E88DF14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174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(17.4%)</w:t>
            </w:r>
          </w:p>
        </w:tc>
      </w:tr>
      <w:tr w:rsidR="00DC3BE3" w:rsidRPr="006C7F64" w14:paraId="7B4A2793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52E0556F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Hypertension</w:t>
            </w:r>
          </w:p>
        </w:tc>
        <w:tc>
          <w:tcPr>
            <w:tcW w:w="1054" w:type="pct"/>
            <w:vAlign w:val="center"/>
            <w:hideMark/>
          </w:tcPr>
          <w:p w14:paraId="033A6A2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38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(5.7%)</w:t>
            </w:r>
          </w:p>
        </w:tc>
        <w:tc>
          <w:tcPr>
            <w:tcW w:w="1054" w:type="pct"/>
            <w:vAlign w:val="center"/>
            <w:hideMark/>
          </w:tcPr>
          <w:p w14:paraId="73062F8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(6.3%)</w:t>
            </w:r>
          </w:p>
        </w:tc>
        <w:tc>
          <w:tcPr>
            <w:tcW w:w="1055" w:type="pct"/>
            <w:noWrap/>
            <w:vAlign w:val="bottom"/>
            <w:hideMark/>
          </w:tcPr>
          <w:p w14:paraId="4F5B43F0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(5.9%)</w:t>
            </w:r>
          </w:p>
        </w:tc>
      </w:tr>
      <w:tr w:rsidR="00DC3BE3" w:rsidRPr="006C7F64" w14:paraId="3FC4961F" w14:textId="77777777" w:rsidTr="008D00B2">
        <w:trPr>
          <w:trHeight w:val="310"/>
        </w:trPr>
        <w:tc>
          <w:tcPr>
            <w:tcW w:w="1837" w:type="pct"/>
            <w:vAlign w:val="center"/>
            <w:hideMark/>
          </w:tcPr>
          <w:p w14:paraId="66DD26FD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Cardiovascular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disease</w:t>
            </w:r>
          </w:p>
        </w:tc>
        <w:tc>
          <w:tcPr>
            <w:tcW w:w="1054" w:type="pct"/>
            <w:vAlign w:val="center"/>
            <w:hideMark/>
          </w:tcPr>
          <w:p w14:paraId="4D2DAA07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54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(8.1%)</w:t>
            </w:r>
          </w:p>
        </w:tc>
        <w:tc>
          <w:tcPr>
            <w:tcW w:w="1054" w:type="pct"/>
            <w:vAlign w:val="center"/>
            <w:hideMark/>
          </w:tcPr>
          <w:p w14:paraId="6BE09A8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27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(8.0%)</w:t>
            </w:r>
          </w:p>
        </w:tc>
        <w:tc>
          <w:tcPr>
            <w:tcW w:w="1055" w:type="pct"/>
            <w:noWrap/>
            <w:vAlign w:val="bottom"/>
            <w:hideMark/>
          </w:tcPr>
          <w:p w14:paraId="2294C133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81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(8.1%)</w:t>
            </w:r>
          </w:p>
        </w:tc>
      </w:tr>
      <w:tr w:rsidR="00DC3BE3" w:rsidRPr="006C7F64" w14:paraId="62ACF177" w14:textId="77777777" w:rsidTr="008D00B2">
        <w:trPr>
          <w:trHeight w:val="310"/>
        </w:trPr>
        <w:tc>
          <w:tcPr>
            <w:tcW w:w="1837" w:type="pct"/>
            <w:vAlign w:val="center"/>
          </w:tcPr>
          <w:p w14:paraId="73BFFFDF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Upper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respiratory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tract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infection</w:t>
            </w:r>
          </w:p>
        </w:tc>
        <w:tc>
          <w:tcPr>
            <w:tcW w:w="1054" w:type="pct"/>
            <w:vAlign w:val="center"/>
          </w:tcPr>
          <w:p w14:paraId="27C7FB55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(0.5%)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3E01C65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6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(1.8%)</w:t>
            </w:r>
          </w:p>
        </w:tc>
        <w:tc>
          <w:tcPr>
            <w:tcW w:w="1055" w:type="pct"/>
            <w:noWrap/>
            <w:vAlign w:val="bottom"/>
          </w:tcPr>
          <w:p w14:paraId="6521F47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(0.9%)</w:t>
            </w:r>
          </w:p>
        </w:tc>
      </w:tr>
      <w:tr w:rsidR="00DC3BE3" w:rsidRPr="006C7F64" w14:paraId="289C54B4" w14:textId="77777777" w:rsidTr="008D00B2">
        <w:trPr>
          <w:trHeight w:val="310"/>
        </w:trPr>
        <w:tc>
          <w:tcPr>
            <w:tcW w:w="1837" w:type="pct"/>
            <w:vAlign w:val="center"/>
          </w:tcPr>
          <w:p w14:paraId="1FB859D1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Nasopharyngitis</w:t>
            </w:r>
          </w:p>
        </w:tc>
        <w:tc>
          <w:tcPr>
            <w:tcW w:w="1054" w:type="pct"/>
            <w:vAlign w:val="center"/>
          </w:tcPr>
          <w:p w14:paraId="7E5A7CD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9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(1.4%)</w:t>
            </w:r>
          </w:p>
        </w:tc>
        <w:tc>
          <w:tcPr>
            <w:tcW w:w="1054" w:type="pct"/>
            <w:vAlign w:val="center"/>
          </w:tcPr>
          <w:p w14:paraId="7075379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(0.9%)</w:t>
            </w:r>
          </w:p>
        </w:tc>
        <w:tc>
          <w:tcPr>
            <w:tcW w:w="1055" w:type="pct"/>
            <w:noWrap/>
            <w:vAlign w:val="bottom"/>
          </w:tcPr>
          <w:p w14:paraId="5BE2D899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(1.2%)</w:t>
            </w:r>
          </w:p>
        </w:tc>
      </w:tr>
      <w:tr w:rsidR="00DC3BE3" w:rsidRPr="006C7F64" w14:paraId="0D70356C" w14:textId="77777777" w:rsidTr="008D00B2">
        <w:trPr>
          <w:trHeight w:val="310"/>
        </w:trPr>
        <w:tc>
          <w:tcPr>
            <w:tcW w:w="1837" w:type="pct"/>
            <w:vAlign w:val="center"/>
          </w:tcPr>
          <w:p w14:paraId="106A3F2E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Hepatic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steatosis</w:t>
            </w:r>
          </w:p>
        </w:tc>
        <w:tc>
          <w:tcPr>
            <w:tcW w:w="1054" w:type="pct"/>
            <w:vAlign w:val="center"/>
          </w:tcPr>
          <w:p w14:paraId="57068D9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156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(23.4%)</w:t>
            </w:r>
          </w:p>
        </w:tc>
        <w:tc>
          <w:tcPr>
            <w:tcW w:w="1054" w:type="pct"/>
            <w:vAlign w:val="center"/>
          </w:tcPr>
          <w:p w14:paraId="3173D24C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73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(21.7%)</w:t>
            </w:r>
          </w:p>
        </w:tc>
        <w:tc>
          <w:tcPr>
            <w:tcW w:w="1055" w:type="pct"/>
            <w:noWrap/>
            <w:vAlign w:val="bottom"/>
          </w:tcPr>
          <w:p w14:paraId="435776AA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229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(22.9%)</w:t>
            </w:r>
          </w:p>
        </w:tc>
      </w:tr>
      <w:tr w:rsidR="00DC3BE3" w:rsidRPr="006C7F64" w14:paraId="2E039007" w14:textId="77777777" w:rsidTr="008D00B2">
        <w:trPr>
          <w:trHeight w:val="310"/>
        </w:trPr>
        <w:tc>
          <w:tcPr>
            <w:tcW w:w="1837" w:type="pct"/>
            <w:vAlign w:val="center"/>
          </w:tcPr>
          <w:p w14:paraId="24BE25A9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Hyperuricemia</w:t>
            </w:r>
          </w:p>
        </w:tc>
        <w:tc>
          <w:tcPr>
            <w:tcW w:w="1054" w:type="pct"/>
            <w:vAlign w:val="center"/>
          </w:tcPr>
          <w:p w14:paraId="2DB78B6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37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(5.6%)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14:paraId="756CB5E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25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(7.4%)</w:t>
            </w:r>
          </w:p>
        </w:tc>
        <w:tc>
          <w:tcPr>
            <w:tcW w:w="1055" w:type="pct"/>
            <w:noWrap/>
            <w:vAlign w:val="bottom"/>
          </w:tcPr>
          <w:p w14:paraId="668C436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62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(6.2%)</w:t>
            </w:r>
          </w:p>
        </w:tc>
      </w:tr>
      <w:tr w:rsidR="00DC3BE3" w:rsidRPr="006C7F64" w14:paraId="109B1EB8" w14:textId="77777777" w:rsidTr="008D00B2">
        <w:trPr>
          <w:trHeight w:val="310"/>
        </w:trPr>
        <w:tc>
          <w:tcPr>
            <w:tcW w:w="1837" w:type="pct"/>
            <w:tcBorders>
              <w:bottom w:val="single" w:sz="4" w:space="0" w:color="auto"/>
            </w:tcBorders>
            <w:vAlign w:val="center"/>
          </w:tcPr>
          <w:p w14:paraId="59B937CE" w14:textId="77777777" w:rsidR="00DC3BE3" w:rsidRPr="008E2A5F" w:rsidRDefault="00DC3BE3" w:rsidP="008D00B2">
            <w:pPr>
              <w:adjustRightInd w:val="0"/>
              <w:snapToGrid w:val="0"/>
              <w:ind w:firstLineChars="200" w:firstLine="48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Hypertriglyceridemia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319EBCD1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11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(1.7%)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vAlign w:val="center"/>
          </w:tcPr>
          <w:p w14:paraId="31BE75BE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 xml:space="preserve"> </w:t>
            </w:r>
            <w:r w:rsidRPr="008E2A5F">
              <w:rPr>
                <w:rFonts w:cs="Times New Roman"/>
                <w:sz w:val="24"/>
              </w:rPr>
              <w:t>(0.3%)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noWrap/>
            <w:vAlign w:val="bottom"/>
          </w:tcPr>
          <w:p w14:paraId="72B7CF5D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12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(1.2%)</w:t>
            </w:r>
          </w:p>
        </w:tc>
      </w:tr>
      <w:tr w:rsidR="00DC3BE3" w:rsidRPr="006C7F64" w14:paraId="6692FA7D" w14:textId="77777777" w:rsidTr="008D00B2">
        <w:trPr>
          <w:trHeight w:val="17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  <w:hideMark/>
          </w:tcPr>
          <w:p w14:paraId="29F63D1B" w14:textId="77777777" w:rsidR="00DC3BE3" w:rsidRPr="008E2A5F" w:rsidRDefault="00DC3BE3" w:rsidP="008D00B2">
            <w:pPr>
              <w:adjustRightInd w:val="0"/>
              <w:snapToGrid w:val="0"/>
              <w:rPr>
                <w:rFonts w:eastAsia="宋体" w:cs="Times New Roman"/>
                <w:sz w:val="24"/>
              </w:rPr>
            </w:pPr>
            <w:r w:rsidRPr="008E2A5F">
              <w:rPr>
                <w:rFonts w:eastAsia="宋体" w:cs="Times New Roman"/>
                <w:sz w:val="24"/>
              </w:rPr>
              <w:t>Data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i/>
                <w:iCs/>
                <w:sz w:val="24"/>
              </w:rPr>
              <w:t>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(%),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i/>
                <w:iCs/>
                <w:sz w:val="24"/>
              </w:rPr>
              <w:t>n</w:t>
            </w:r>
            <w:r w:rsidRPr="008E2A5F">
              <w:rPr>
                <w:rFonts w:eastAsia="宋体" w:cs="Times New Roman"/>
                <w:sz w:val="24"/>
              </w:rPr>
              <w:t>/N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(%)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median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(IQR).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CKD-EPIscr,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chronic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kidney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disease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epidemiology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collaboration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serum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creatinine;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DXA,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dual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energy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x-ray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absorptiometry;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eGFR,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estimated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glomerular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filtration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rate;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HBeAg,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hepatitis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antigen;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HBV,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hepatitis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virus;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ULN,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upper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limit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of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normal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range.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a</w:t>
            </w:r>
            <w:r w:rsidRPr="008E2A5F">
              <w:rPr>
                <w:rFonts w:eastAsia="宋体" w:cs="Times New Roman"/>
                <w:sz w:val="24"/>
              </w:rPr>
              <w:t>The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ALT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ULN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was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based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American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Association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the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Study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of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Liver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Diseases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(AASLD)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guidance,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which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35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U/L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male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25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U/L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for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female;</w:t>
            </w:r>
            <w:r>
              <w:rPr>
                <w:rFonts w:eastAsia="微软雅黑" w:cs="Times New Roman"/>
                <w:sz w:val="24"/>
                <w:vertAlign w:val="superscript"/>
              </w:rPr>
              <w:t xml:space="preserve"> </w:t>
            </w:r>
            <w:r w:rsidRPr="008E2A5F">
              <w:rPr>
                <w:rFonts w:eastAsia="微软雅黑" w:cs="Times New Roman"/>
                <w:sz w:val="24"/>
                <w:vertAlign w:val="superscript"/>
              </w:rPr>
              <w:t>b</w:t>
            </w:r>
            <w:r w:rsidRPr="008E2A5F">
              <w:rPr>
                <w:rFonts w:eastAsia="宋体" w:cs="Times New Roman"/>
                <w:sz w:val="24"/>
              </w:rPr>
              <w:t>Patients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diagnosed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cirrhosis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by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transient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elastography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under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different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ALT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levels;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c</w:t>
            </w:r>
            <w:r w:rsidRPr="008E2A5F">
              <w:rPr>
                <w:rFonts w:eastAsia="宋体" w:cs="Times New Roman"/>
                <w:sz w:val="24"/>
              </w:rPr>
              <w:t>The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proportion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of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treated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HBV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patients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similar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in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HBeAg-positive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and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-negative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population;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  <w:vertAlign w:val="superscript"/>
              </w:rPr>
              <w:t>d</w:t>
            </w:r>
            <w:r w:rsidRPr="008E2A5F">
              <w:rPr>
                <w:rFonts w:eastAsia="宋体" w:cs="Times New Roman"/>
                <w:sz w:val="24"/>
              </w:rPr>
              <w:t>Comorbidities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were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collected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according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to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medical</w:t>
            </w:r>
            <w:r>
              <w:rPr>
                <w:rFonts w:eastAsia="宋体" w:cs="Times New Roman"/>
                <w:sz w:val="24"/>
              </w:rPr>
              <w:t xml:space="preserve"> </w:t>
            </w:r>
            <w:r w:rsidRPr="008E2A5F">
              <w:rPr>
                <w:rFonts w:eastAsia="宋体" w:cs="Times New Roman"/>
                <w:sz w:val="24"/>
              </w:rPr>
              <w:t>history.</w:t>
            </w:r>
            <w:r>
              <w:rPr>
                <w:rFonts w:eastAsia="宋体" w:cs="Times New Roman"/>
                <w:sz w:val="24"/>
              </w:rPr>
              <w:t xml:space="preserve"> </w:t>
            </w:r>
          </w:p>
        </w:tc>
      </w:tr>
    </w:tbl>
    <w:p w14:paraId="2FA08AC4" w14:textId="77777777" w:rsidR="00E31FA5" w:rsidRDefault="00E31FA5"/>
    <w:sectPr w:rsidR="00E31F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BE3"/>
    <w:rsid w:val="00DC3BE3"/>
    <w:rsid w:val="00E31FA5"/>
    <w:rsid w:val="00E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EE4D"/>
  <w15:docId w15:val="{3367B083-FB3E-49CA-8A9E-4D3FB91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3BE3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C3BE3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Chellie Chen</cp:lastModifiedBy>
  <cp:revision>3</cp:revision>
  <dcterms:created xsi:type="dcterms:W3CDTF">2022-10-31T09:54:00Z</dcterms:created>
  <dcterms:modified xsi:type="dcterms:W3CDTF">2022-11-01T11:04:00Z</dcterms:modified>
</cp:coreProperties>
</file>