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E1" w:rsidRPr="00BB4771" w:rsidRDefault="00B604E1" w:rsidP="00B604E1">
      <w:pPr>
        <w:snapToGrid w:val="0"/>
        <w:spacing w:line="480" w:lineRule="auto"/>
        <w:rPr>
          <w:rFonts w:cs="Times New Roman"/>
          <w:bCs/>
        </w:rPr>
      </w:pPr>
      <w:r w:rsidRPr="00BB4771">
        <w:rPr>
          <w:rFonts w:cs="Times New Roman"/>
          <w:b/>
          <w:bCs/>
        </w:rPr>
        <w:t>Supplementary Table S4.</w:t>
      </w:r>
      <w:r w:rsidRPr="00BB4771">
        <w:rPr>
          <w:rFonts w:cs="Times New Roman"/>
        </w:rPr>
        <w:t xml:space="preserve"> </w:t>
      </w:r>
      <w:r w:rsidRPr="00BB4771">
        <w:rPr>
          <w:rFonts w:cs="Times New Roman"/>
          <w:bCs/>
        </w:rPr>
        <w:t>Stratification of 48-week HBV DNA levels in subgroup with baseline HBV-DNA ≥8 log10 IU/mL and HBeAg-positive subgroup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2"/>
        <w:gridCol w:w="1759"/>
        <w:gridCol w:w="1759"/>
        <w:gridCol w:w="1096"/>
      </w:tblGrid>
      <w:tr w:rsidR="00B604E1" w:rsidRPr="00BB4771" w:rsidTr="00F1553F">
        <w:trPr>
          <w:jc w:val="center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</w:tcBorders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Subgroup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TMF group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Blank control group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P</w:t>
            </w:r>
          </w:p>
        </w:tc>
      </w:tr>
      <w:tr w:rsidR="00B604E1" w:rsidRPr="00BB4771" w:rsidTr="00F1553F">
        <w:trPr>
          <w:jc w:val="center"/>
        </w:trPr>
        <w:tc>
          <w:tcPr>
            <w:tcW w:w="2395" w:type="pct"/>
            <w:tcBorders>
              <w:top w:val="single" w:sz="4" w:space="0" w:color="auto"/>
            </w:tcBorders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No. of patients with baseline HBV-DNA ≥8 log10 IU/mL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21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14</w:t>
            </w:r>
          </w:p>
        </w:tc>
        <w:tc>
          <w:tcPr>
            <w:tcW w:w="619" w:type="pct"/>
            <w:tcBorders>
              <w:top w:val="single" w:sz="4" w:space="0" w:color="auto"/>
            </w:tcBorders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B604E1" w:rsidRPr="00BB4771" w:rsidTr="00F1553F">
        <w:trPr>
          <w:jc w:val="center"/>
        </w:trPr>
        <w:tc>
          <w:tcPr>
            <w:tcW w:w="2395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HBV DNA at week 48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619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&lt;0.001</w:t>
            </w:r>
          </w:p>
        </w:tc>
      </w:tr>
      <w:tr w:rsidR="00B604E1" w:rsidRPr="00BB4771" w:rsidTr="00F1553F">
        <w:trPr>
          <w:jc w:val="center"/>
        </w:trPr>
        <w:tc>
          <w:tcPr>
            <w:tcW w:w="2395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 xml:space="preserve">  &lt;20 IU/mL, n (%)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1 (4.8)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0</w:t>
            </w:r>
          </w:p>
        </w:tc>
        <w:tc>
          <w:tcPr>
            <w:tcW w:w="619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B604E1" w:rsidRPr="00BB4771" w:rsidTr="00F1553F">
        <w:trPr>
          <w:jc w:val="center"/>
        </w:trPr>
        <w:tc>
          <w:tcPr>
            <w:tcW w:w="2395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 xml:space="preserve">  20-2000 IU/mL, n (%)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18 (85.7)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0</w:t>
            </w:r>
          </w:p>
        </w:tc>
        <w:tc>
          <w:tcPr>
            <w:tcW w:w="619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B604E1" w:rsidRPr="00BB4771" w:rsidTr="00F1553F">
        <w:trPr>
          <w:jc w:val="center"/>
        </w:trPr>
        <w:tc>
          <w:tcPr>
            <w:tcW w:w="2395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 xml:space="preserve">  &gt;2000 IU/mL, n (%)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2 (9.5)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14 (100.0)</w:t>
            </w:r>
          </w:p>
        </w:tc>
        <w:tc>
          <w:tcPr>
            <w:tcW w:w="619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B604E1" w:rsidRPr="00BB4771" w:rsidTr="00F1553F">
        <w:trPr>
          <w:jc w:val="center"/>
        </w:trPr>
        <w:tc>
          <w:tcPr>
            <w:tcW w:w="2395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 xml:space="preserve">No. of patients with baseline positive HBeAg 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23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25</w:t>
            </w:r>
          </w:p>
        </w:tc>
        <w:tc>
          <w:tcPr>
            <w:tcW w:w="619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B604E1" w:rsidRPr="00BB4771" w:rsidTr="00F1553F">
        <w:trPr>
          <w:jc w:val="center"/>
        </w:trPr>
        <w:tc>
          <w:tcPr>
            <w:tcW w:w="2395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HBV DNA at week 48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  <w:tc>
          <w:tcPr>
            <w:tcW w:w="619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&lt;0.001</w:t>
            </w:r>
          </w:p>
        </w:tc>
      </w:tr>
      <w:tr w:rsidR="00B604E1" w:rsidRPr="00BB4771" w:rsidTr="00F1553F">
        <w:trPr>
          <w:jc w:val="center"/>
        </w:trPr>
        <w:tc>
          <w:tcPr>
            <w:tcW w:w="2395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 xml:space="preserve">  &lt;20 IU/mL, n (%)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2 (8.7)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0</w:t>
            </w:r>
          </w:p>
        </w:tc>
        <w:tc>
          <w:tcPr>
            <w:tcW w:w="619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B604E1" w:rsidRPr="00BB4771" w:rsidTr="00F1553F">
        <w:trPr>
          <w:jc w:val="center"/>
        </w:trPr>
        <w:tc>
          <w:tcPr>
            <w:tcW w:w="2395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 xml:space="preserve">  20-2000 IU/mL, n (%)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19 (82.6)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1 (4.0)</w:t>
            </w:r>
          </w:p>
        </w:tc>
        <w:tc>
          <w:tcPr>
            <w:tcW w:w="619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</w:tr>
      <w:tr w:rsidR="00B604E1" w:rsidRPr="00BB4771" w:rsidTr="00F1553F">
        <w:trPr>
          <w:jc w:val="center"/>
        </w:trPr>
        <w:tc>
          <w:tcPr>
            <w:tcW w:w="2395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 xml:space="preserve">  &gt;2000 IU/mL, n (%)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2 (8.7)</w:t>
            </w:r>
          </w:p>
        </w:tc>
        <w:tc>
          <w:tcPr>
            <w:tcW w:w="993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  <w:r w:rsidRPr="00BB4771">
              <w:rPr>
                <w:rFonts w:cs="Times New Roman"/>
                <w:sz w:val="22"/>
              </w:rPr>
              <w:t>24 (96.0)</w:t>
            </w:r>
          </w:p>
        </w:tc>
        <w:tc>
          <w:tcPr>
            <w:tcW w:w="619" w:type="pct"/>
          </w:tcPr>
          <w:p w:rsidR="00B604E1" w:rsidRPr="00BB4771" w:rsidRDefault="00B604E1" w:rsidP="00F1553F">
            <w:pPr>
              <w:snapToGrid w:val="0"/>
              <w:spacing w:line="480" w:lineRule="auto"/>
              <w:rPr>
                <w:rFonts w:cs="Times New Roman"/>
                <w:sz w:val="22"/>
              </w:rPr>
            </w:pPr>
          </w:p>
        </w:tc>
      </w:tr>
    </w:tbl>
    <w:p w:rsidR="00B604E1" w:rsidRPr="00BB4771" w:rsidRDefault="00B604E1" w:rsidP="00B604E1">
      <w:pPr>
        <w:snapToGrid w:val="0"/>
        <w:spacing w:line="480" w:lineRule="auto"/>
        <w:rPr>
          <w:rFonts w:cs="Times New Roman"/>
          <w:bCs/>
          <w:lang/>
        </w:rPr>
      </w:pPr>
      <w:r w:rsidRPr="00BB4771">
        <w:rPr>
          <w:rFonts w:cs="Times New Roman"/>
          <w:bCs/>
        </w:rPr>
        <w:t xml:space="preserve">TMF: </w:t>
      </w:r>
      <w:r w:rsidRPr="00BB4771">
        <w:rPr>
          <w:rFonts w:cs="Times New Roman"/>
        </w:rPr>
        <w:t xml:space="preserve">tenofovir amibufenamide; </w:t>
      </w:r>
      <w:r w:rsidRPr="00BB4771">
        <w:rPr>
          <w:rFonts w:cs="Times New Roman"/>
          <w:bCs/>
          <w:lang/>
        </w:rPr>
        <w:t>HBeAg: hepatitis B e-antigen</w:t>
      </w:r>
      <w:r w:rsidRPr="00BB4771">
        <w:rPr>
          <w:rFonts w:cs="Times New Roman"/>
          <w:bCs/>
        </w:rPr>
        <w:t xml:space="preserve">; </w:t>
      </w:r>
      <w:r w:rsidRPr="00BB4771">
        <w:rPr>
          <w:rFonts w:cs="Times New Roman"/>
          <w:bCs/>
          <w:lang/>
        </w:rPr>
        <w:t>HBV-DNA: hepatitis B virus DNA.</w:t>
      </w:r>
    </w:p>
    <w:p w:rsidR="003A2791" w:rsidRDefault="003A2791"/>
    <w:sectPr w:rsidR="003A27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604E1"/>
    <w:rsid w:val="003A2791"/>
    <w:rsid w:val="00B6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4E1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2025-06-25T10:32:00Z</dcterms:created>
  <dcterms:modified xsi:type="dcterms:W3CDTF">2025-06-25T10:32:00Z</dcterms:modified>
</cp:coreProperties>
</file>