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47" w:rsidRPr="00BB4771" w:rsidRDefault="00CB7F47" w:rsidP="00CB7F47">
      <w:pPr>
        <w:snapToGrid w:val="0"/>
        <w:spacing w:line="480" w:lineRule="auto"/>
        <w:rPr>
          <w:rFonts w:cs="Times New Roman"/>
          <w:bCs/>
        </w:rPr>
      </w:pPr>
      <w:r w:rsidRPr="00BB4771">
        <w:rPr>
          <w:rFonts w:cs="Times New Roman"/>
          <w:b/>
          <w:bCs/>
        </w:rPr>
        <w:t>Supplementary Table S2.</w:t>
      </w:r>
      <w:r w:rsidRPr="00BB4771">
        <w:rPr>
          <w:rFonts w:cs="Times New Roman"/>
        </w:rPr>
        <w:t xml:space="preserve"> </w:t>
      </w:r>
      <w:r w:rsidRPr="00BB4771">
        <w:rPr>
          <w:rFonts w:cs="Times New Roman"/>
          <w:bCs/>
        </w:rPr>
        <w:t>Summary of efficacy at week 48 in PPS</w:t>
      </w:r>
    </w:p>
    <w:tbl>
      <w:tblPr>
        <w:tblW w:w="14079" w:type="dxa"/>
        <w:tblLayout w:type="fixed"/>
        <w:tblLook w:val="04A0"/>
      </w:tblPr>
      <w:tblGrid>
        <w:gridCol w:w="7088"/>
        <w:gridCol w:w="1135"/>
        <w:gridCol w:w="1416"/>
        <w:gridCol w:w="1139"/>
        <w:gridCol w:w="1838"/>
        <w:gridCol w:w="432"/>
        <w:gridCol w:w="566"/>
        <w:gridCol w:w="465"/>
      </w:tblGrid>
      <w:tr w:rsidR="00CB7F47" w:rsidRPr="00BB4771" w:rsidTr="00F1553F">
        <w:trPr>
          <w:gridAfter w:val="1"/>
          <w:wAfter w:w="465" w:type="dxa"/>
          <w:trHeight w:val="99"/>
        </w:trPr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Efficacy indicators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TMF group (n = 89)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Blank control group</w:t>
            </w:r>
            <w:r w:rsidRPr="00BB4771" w:rsidDel="00B2461B">
              <w:rPr>
                <w:rFonts w:cs="Times New Roman"/>
                <w:lang/>
              </w:rPr>
              <w:t xml:space="preserve"> </w:t>
            </w:r>
            <w:r w:rsidRPr="00BB4771">
              <w:rPr>
                <w:rFonts w:cs="Times New Roman"/>
                <w:lang/>
              </w:rPr>
              <w:t>(n = 86)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P 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Serum HBV-DNA&lt;20 IU/mL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&lt;0.001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Number of patients, n (%) [95%CI]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66 (74.2) [63.8-82.9]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5 (5.8) [1.9-13.0]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Proportion difference between TMF and blank control, % [95%CI]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68.3 [58.0-78.7]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Serum HBV-DNA level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&lt;0.001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&lt;20 IU/mL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66 (74.2)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5 (5.8)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20-2000 IU/mL</w:t>
            </w:r>
            <w:r w:rsidRPr="00BB4771" w:rsidDel="00B85280"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19 (21.3)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33 (38.4)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&gt;2000 IU/mL</w:t>
            </w:r>
            <w:r w:rsidRPr="00BB4771" w:rsidDel="00B85280"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4 (4.5)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48 (55.8)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Serum HBV-DNA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Log10 IU/mL, median (Q1, Q3)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1.00 (1.00, 1.41)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3.43 (2.66, 5.21)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&lt;0.001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Change from baseline (log10 IU/mL), median (Q1, Q3)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-2.68 (-4.90, -1.94)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-0.15 (-0.66, 0.04)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&lt;0.001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 xml:space="preserve">  Percentage change from baseline</w:t>
            </w:r>
            <w:r w:rsidRPr="00BB4771" w:rsidDel="00B85280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</w:rPr>
              <w:t>(%), median (Q1, Q3)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-72.69 (-77.36, -65.54)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-3.97 (-19.00, 0.61)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&lt;0.001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HBeAg-positive subjects achieving HBeAg loss, n (%)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 (4.5)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0.489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HBeAg-positive subjects achieving HBsAg loss and HBeAg seroconversion, n (%)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1 (4.5)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</w:rPr>
              <w:t>0.489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HBsAg loss, n (%)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1 (1.1)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&gt;0.999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HBsAg loss</w:t>
            </w:r>
            <w:r w:rsidRPr="00BB4771" w:rsidDel="00B85280">
              <w:rPr>
                <w:rFonts w:cs="Times New Roman"/>
                <w:lang/>
              </w:rPr>
              <w:t xml:space="preserve"> </w:t>
            </w:r>
            <w:r w:rsidRPr="00BB4771">
              <w:rPr>
                <w:rFonts w:cs="Times New Roman"/>
                <w:lang/>
              </w:rPr>
              <w:t>and HBSAg seroconversion, n (%)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 (1.2)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&gt;0.999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HBsAg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Log10 IU/mL, median (Q1, Q3)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3.32 (2.47, 4.13)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3.23 (2.37, 4.00)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0.702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Change from baseline (log10 IU/mL), median (Q1, Q3) [n=188]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-0.07 (-0.16, -0.01)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-0.04 (-0.09, 0.02)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0.011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Percentage change from baseline</w:t>
            </w:r>
            <w:r w:rsidRPr="00BB4771" w:rsidDel="00B85280">
              <w:rPr>
                <w:rFonts w:cs="Times New Roman"/>
                <w:lang/>
              </w:rPr>
              <w:t xml:space="preserve"> </w:t>
            </w:r>
            <w:r w:rsidRPr="00BB4771">
              <w:rPr>
                <w:rFonts w:cs="Times New Roman"/>
                <w:lang/>
              </w:rPr>
              <w:t>(%), median (Q1, Q3) [n=188]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-2.63 (-4.23, -0.57)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-1.33 (-2.74, 0.76)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0.012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Liver stiffness measurement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kPa, median (Q1, Q3) [n=185]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5.30 (4.80, 6.60)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5.40 (4.50, 6.15)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0.386 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Change from baseline (kPa), median (Q1, Q3) [n=184]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-0.05 (-0.73, 1.00)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0.20 (-0.90, 1.15)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0.931 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Percentage change from baseline</w:t>
            </w:r>
            <w:r w:rsidRPr="00BB4771" w:rsidDel="00B85280">
              <w:rPr>
                <w:rFonts w:cs="Times New Roman"/>
                <w:lang/>
              </w:rPr>
              <w:t xml:space="preserve"> </w:t>
            </w:r>
            <w:r w:rsidRPr="00BB4771">
              <w:rPr>
                <w:rFonts w:cs="Times New Roman"/>
                <w:lang/>
              </w:rPr>
              <w:t>(%), median (Q1, Q3) [n=184]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-0.79 (-11.54, 22.88)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3.92 (-16.40, 21.96)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0.984 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FIB4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Median (Q1, Q3)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0.99 (0.72, 1.37)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0.92 (0.64, 1.13)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0.22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 xml:space="preserve">  Change from baseline, median (Q1, Q3) [n=191]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0.00 (-0.11, 0.11)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0.00 (-0.11, 0.10)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0.81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Percentage change from baseline</w:t>
            </w:r>
            <w:r w:rsidRPr="00BB4771" w:rsidDel="00B85280">
              <w:rPr>
                <w:rFonts w:cs="Times New Roman"/>
                <w:lang/>
              </w:rPr>
              <w:t xml:space="preserve"> </w:t>
            </w:r>
            <w:r w:rsidRPr="00BB4771">
              <w:rPr>
                <w:rFonts w:cs="Times New Roman"/>
                <w:lang/>
              </w:rPr>
              <w:t>(%), Median (Q1, Q3) [n=191]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-0.22 (-11.16, 10.48)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0.36 (-10.17, 15.55)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0.747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ALT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Median (Q1, Q3)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20.00 (16.00, 27.90)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20.00 (17.00, 25.08)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0.572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Change from baseline, median (Q1, Q3) [n=192]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-3.00 (-8.00, 1.25)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0.00 (-5.75, 3.00)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0.012</w:t>
            </w:r>
          </w:p>
        </w:tc>
      </w:tr>
      <w:tr w:rsidR="00CB7F47" w:rsidRPr="00BB4771" w:rsidTr="00F1553F">
        <w:trPr>
          <w:gridAfter w:val="1"/>
          <w:wAfter w:w="465" w:type="dxa"/>
          <w:trHeight w:val="17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Percentage change from baseline</w:t>
            </w:r>
            <w:r w:rsidRPr="00BB4771" w:rsidDel="00B85280">
              <w:rPr>
                <w:rFonts w:cs="Times New Roman"/>
                <w:lang/>
              </w:rPr>
              <w:t xml:space="preserve"> </w:t>
            </w:r>
            <w:r w:rsidRPr="00BB4771">
              <w:rPr>
                <w:rFonts w:cs="Times New Roman"/>
                <w:lang/>
              </w:rPr>
              <w:t>(%), median (Q1, Q3) [n=192]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-14.09 (-33.33, 7.48)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0.00 (-22.65, 16.67)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0.012</w:t>
            </w:r>
          </w:p>
        </w:tc>
      </w:tr>
      <w:tr w:rsidR="00CB7F47" w:rsidRPr="00BB4771" w:rsidTr="00F1553F">
        <w:trPr>
          <w:trHeight w:val="209"/>
        </w:trPr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ALT flare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7F47" w:rsidRPr="00BB4771" w:rsidRDefault="00CB7F4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-</w:t>
            </w:r>
          </w:p>
        </w:tc>
      </w:tr>
    </w:tbl>
    <w:p w:rsidR="00CB7F47" w:rsidRPr="00BB4771" w:rsidRDefault="00CB7F47" w:rsidP="00CB7F47">
      <w:pPr>
        <w:snapToGrid w:val="0"/>
        <w:spacing w:line="480" w:lineRule="auto"/>
        <w:rPr>
          <w:rFonts w:cs="Times New Roman"/>
        </w:rPr>
      </w:pPr>
      <w:r w:rsidRPr="00BB4771">
        <w:rPr>
          <w:rFonts w:cs="Times New Roman"/>
        </w:rPr>
        <w:t>*ALT flare: During the study, subjects experienced ALT &gt;2 ULN (40 IU/L for HBeAg-positive patients or ALT &gt; ULN (40 IU/L) for HBeAg-negative patients), and other causes were excluded by the investigators.</w:t>
      </w:r>
    </w:p>
    <w:p w:rsidR="00CB7F47" w:rsidRPr="00BB4771" w:rsidRDefault="00CB7F47" w:rsidP="00CB7F47">
      <w:pPr>
        <w:snapToGrid w:val="0"/>
        <w:spacing w:line="480" w:lineRule="auto"/>
        <w:rPr>
          <w:rFonts w:cs="Times New Roman"/>
          <w:bCs/>
          <w:lang/>
        </w:rPr>
      </w:pPr>
      <w:r w:rsidRPr="00BB4771">
        <w:rPr>
          <w:rFonts w:cs="Times New Roman"/>
          <w:bCs/>
        </w:rPr>
        <w:t xml:space="preserve">PPS: per-protocol set; TMF: </w:t>
      </w:r>
      <w:r w:rsidRPr="00BB4771">
        <w:rPr>
          <w:rFonts w:cs="Times New Roman"/>
        </w:rPr>
        <w:t xml:space="preserve">tenofovir amibufenamide; </w:t>
      </w:r>
      <w:r w:rsidRPr="00BB4771">
        <w:rPr>
          <w:rFonts w:cs="Times New Roman"/>
          <w:bCs/>
        </w:rPr>
        <w:t xml:space="preserve">CI: confidence interval; </w:t>
      </w:r>
      <w:r w:rsidRPr="00BB4771">
        <w:rPr>
          <w:rFonts w:cs="Times New Roman"/>
          <w:bCs/>
          <w:lang/>
        </w:rPr>
        <w:t xml:space="preserve">HBV-DNA: hepatitis B virus DNA; Q: quartile; </w:t>
      </w:r>
      <w:r w:rsidRPr="00BB4771">
        <w:rPr>
          <w:rFonts w:cs="Times New Roman"/>
          <w:bCs/>
        </w:rPr>
        <w:t>HBsAg: h</w:t>
      </w:r>
      <w:r w:rsidRPr="00BB4771">
        <w:rPr>
          <w:rFonts w:cs="Times New Roman"/>
          <w:bCs/>
          <w:lang/>
        </w:rPr>
        <w:t xml:space="preserve">epatitis B surface antigen; HBeAg: hepatitis B e-antigen. </w:t>
      </w:r>
    </w:p>
    <w:p w:rsidR="00D95298" w:rsidRDefault="00D95298"/>
    <w:sectPr w:rsidR="00D95298" w:rsidSect="00FC37BD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CB7F47"/>
    <w:rsid w:val="00CB7F47"/>
    <w:rsid w:val="00D95298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2025-06-25T10:31:00Z</dcterms:created>
  <dcterms:modified xsi:type="dcterms:W3CDTF">2025-06-25T10:31:00Z</dcterms:modified>
</cp:coreProperties>
</file>