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27" w:rsidRPr="00BB4771" w:rsidRDefault="007A5427" w:rsidP="007A5427">
      <w:pPr>
        <w:snapToGrid w:val="0"/>
        <w:spacing w:line="480" w:lineRule="auto"/>
        <w:rPr>
          <w:rFonts w:cs="Times New Roman"/>
          <w:bCs/>
        </w:rPr>
      </w:pPr>
      <w:r w:rsidRPr="00BB4771">
        <w:rPr>
          <w:rFonts w:cs="Times New Roman"/>
          <w:b/>
          <w:bCs/>
        </w:rPr>
        <w:t>Supplementary Table S1.</w:t>
      </w:r>
      <w:r w:rsidRPr="00BB4771">
        <w:rPr>
          <w:rFonts w:cs="Times New Roman"/>
        </w:rPr>
        <w:t xml:space="preserve"> </w:t>
      </w:r>
      <w:r w:rsidRPr="00BB4771">
        <w:rPr>
          <w:rFonts w:cs="Times New Roman"/>
          <w:bCs/>
        </w:rPr>
        <w:t>Baseline characteristics of enrolled participants in PPS</w:t>
      </w:r>
    </w:p>
    <w:tbl>
      <w:tblPr>
        <w:tblW w:w="5000" w:type="pct"/>
        <w:tblLook w:val="04A0"/>
      </w:tblPr>
      <w:tblGrid>
        <w:gridCol w:w="5569"/>
        <w:gridCol w:w="992"/>
        <w:gridCol w:w="901"/>
        <w:gridCol w:w="1394"/>
      </w:tblGrid>
      <w:tr w:rsidR="007A5427" w:rsidRPr="00BB4771" w:rsidTr="00F1553F">
        <w:trPr>
          <w:trHeight w:val="136"/>
        </w:trPr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Characteristics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Total (n = 175)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TMF</w:t>
            </w:r>
            <w:r w:rsidRPr="00BB4771">
              <w:rPr>
                <w:rFonts w:cs="Times New Roman"/>
              </w:rPr>
              <w:t xml:space="preserve"> </w:t>
            </w:r>
            <w:r w:rsidRPr="00BB4771">
              <w:rPr>
                <w:rFonts w:cs="Times New Roman"/>
                <w:lang/>
              </w:rPr>
              <w:t>group (n = 89)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Blank control group (n = 86)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Age (years), median (Q1, Q3)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41.0 (33.5, 49.5)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43.00 (33.0, 53.0)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40.0 (34.0, 46.8)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Age &gt;30 years, n (%) 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151 (86.3)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76 (85.4)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75 (87.2)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Gender, male, n (%)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74 (42.3)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41 (46.1)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33 (38.4)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Positive HBeAg, n (%) [n=188]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45 (26.5)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23 (26.1)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22 (26.8)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HBsAg (log10 IU/mL)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 xml:space="preserve">    Overall patients, median (Q1, Q3) [n=188]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3.27 (2.51, 4.08)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3.30 (2.57, 4.36)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3.24 (2.35, 3.92)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  HBeAg positive patients, median (IQR) [n=48]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4.71 (4.43, </w:t>
            </w:r>
            <w:r w:rsidRPr="00BB4771">
              <w:rPr>
                <w:rFonts w:cs="Times New Roman"/>
                <w:lang/>
              </w:rPr>
              <w:lastRenderedPageBreak/>
              <w:t>4.86)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lastRenderedPageBreak/>
              <w:t xml:space="preserve">4.76 (4.70, </w:t>
            </w:r>
            <w:r w:rsidRPr="00BB4771">
              <w:rPr>
                <w:rFonts w:cs="Times New Roman"/>
                <w:lang/>
              </w:rPr>
              <w:lastRenderedPageBreak/>
              <w:t>4.86)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lastRenderedPageBreak/>
              <w:t>4.53 (3.92, 4.85)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lastRenderedPageBreak/>
              <w:t xml:space="preserve">    HBeAg negative patients, median (IQR) [n=140]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2.94 (2.26, 3.47)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2.86 (2.36, 3.54)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2.98 (2.23, 3.44)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Serum HBV-DNA (log10 IU/mL)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 xml:space="preserve">    Overall patients, median (Q1, Q3)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3.69 (3.07, 5.84)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3.69 (3.13, 6.42)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3.64 (3.04, 5.63)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  HBeAg positive patients, median (IQR) [n=48]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8.34 (8.03, 8.58)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8.41 (8.28, 8.59)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8.29 (7.79, 8.50)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  HBeAg negative patients, median (IQR) [n=140]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3.36 (2.84, 3.76)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3.37 (2.88, 4.08)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3.33 (2.79, 3.75)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Serum HBV-DNA &gt;8 log10 IU/mL, n (%)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35 (20.0)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21 (23.6)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14 (16.3)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ALT (IU/L)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  Overall patients, median (Q1, Q3) [n=192]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21.65 (17.00, 31.00)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22.00 (18.00, 32.02)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20.00 (16.00, 29.00)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lastRenderedPageBreak/>
              <w:t xml:space="preserve">    HBeAg positive patients, median (IQR) [n=48]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25.00 (16.00, 33.00)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26.00 (18.50, 33.00)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22.50 (15.25, 31.50)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    HBeAg negative patients, median (IQR) [n=139]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21.00 (17.00, 30.00)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22.00 (18.00, 31.02)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20.00 (16.00, 25.25)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GFR (mL/min), median (Q1, Q3) [n=191]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98.50 (85.90, 117.30)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97.40 (85.10, 116.00)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99.60 (88.40, 118.10)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GFR &lt;90 mL/min, n (%) [n=191]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56 (32.4)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32 (36.0)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24 (28.6)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Creatinine (µmol/L), median (Q1, Q3) [n=192]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65.00 (55.78, 79.75)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66.00 (57.00, 79.00)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63.00 (53.00, 81.00)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Liver stiffness measurement (kPa), median (Q1, Q3) [n=192]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5.30 (4.53, 6.47)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5.35 (4.57, 6.62)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5.30 (4.58, 6.38)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FIB4, median (Q1, Q3) [n=191]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0.99 (0.68, 1.21)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0.99 (0.69, 1.31)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0.97 (0.66, 1.18)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t>β-CTx (ng/mL), median (Q1, Q3) [n=69]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 xml:space="preserve">0.41 </w:t>
            </w:r>
            <w:r w:rsidRPr="00BB4771">
              <w:rPr>
                <w:rFonts w:cs="Times New Roman"/>
                <w:lang/>
              </w:rPr>
              <w:lastRenderedPageBreak/>
              <w:t>(0.28, 0.61)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lastRenderedPageBreak/>
              <w:t xml:space="preserve">0.42 </w:t>
            </w:r>
            <w:r w:rsidRPr="00BB4771">
              <w:rPr>
                <w:rFonts w:cs="Times New Roman"/>
                <w:lang/>
              </w:rPr>
              <w:lastRenderedPageBreak/>
              <w:t>(0.29, 0.73)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lastRenderedPageBreak/>
              <w:t xml:space="preserve">0.40 (0.29, </w:t>
            </w:r>
            <w:r w:rsidRPr="00BB4771">
              <w:rPr>
                <w:rFonts w:cs="Times New Roman"/>
                <w:lang/>
              </w:rPr>
              <w:lastRenderedPageBreak/>
              <w:t>0.55)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</w:rPr>
            </w:pPr>
            <w:r w:rsidRPr="00BB4771">
              <w:rPr>
                <w:rFonts w:cs="Times New Roman"/>
                <w:lang/>
              </w:rPr>
              <w:lastRenderedPageBreak/>
              <w:t>P1NP (ng/mL), median (Q1, Q3) [n=24]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46.42 (39.03, 63.58)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46.42 (38.37, 68.25)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45.62 (40.85, 61.58)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History of hepatitis B treatment, n (%)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Hypertension, n (%)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highlight w:val="yellow"/>
                <w:lang/>
              </w:rPr>
            </w:pPr>
            <w:r w:rsidRPr="00BB4771">
              <w:rPr>
                <w:rFonts w:cs="Times New Roman"/>
                <w:lang/>
              </w:rPr>
              <w:t>11 (6.3)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highlight w:val="yellow"/>
                <w:lang/>
              </w:rPr>
            </w:pPr>
            <w:r w:rsidRPr="00BB4771">
              <w:rPr>
                <w:rFonts w:cs="Times New Roman"/>
                <w:lang/>
              </w:rPr>
              <w:t>9 (10.1)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highlight w:val="yellow"/>
                <w:lang/>
              </w:rPr>
            </w:pPr>
            <w:r w:rsidRPr="00BB4771">
              <w:rPr>
                <w:rFonts w:cs="Times New Roman"/>
                <w:lang/>
              </w:rPr>
              <w:t>2 (2.3)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Diabetes, n (%)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 (2.3)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4 (4.5)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Cardiovascular and cerebrovascular diseases, n (%)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0</w:t>
            </w:r>
          </w:p>
        </w:tc>
      </w:tr>
      <w:tr w:rsidR="007A5427" w:rsidRPr="00BB4771" w:rsidTr="00F1553F">
        <w:trPr>
          <w:trHeight w:val="60"/>
        </w:trPr>
        <w:tc>
          <w:tcPr>
            <w:tcW w:w="223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Dyslipidemia, n (%)</w:t>
            </w:r>
          </w:p>
        </w:tc>
        <w:tc>
          <w:tcPr>
            <w:tcW w:w="864" w:type="pct"/>
            <w:tcBorders>
              <w:top w:val="nil"/>
              <w:left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5 (2.9)</w:t>
            </w:r>
          </w:p>
        </w:tc>
        <w:tc>
          <w:tcPr>
            <w:tcW w:w="812" w:type="pct"/>
            <w:tcBorders>
              <w:top w:val="nil"/>
              <w:left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 (3.4)</w:t>
            </w: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2 (2.3)</w:t>
            </w:r>
          </w:p>
        </w:tc>
      </w:tr>
      <w:tr w:rsidR="007A5427" w:rsidRPr="00BB4771" w:rsidTr="00F1553F">
        <w:trPr>
          <w:trHeight w:val="239"/>
        </w:trPr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Fatty liver, n (%)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6 (3.4)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 (3.5)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427" w:rsidRPr="00BB4771" w:rsidRDefault="007A5427" w:rsidP="00F1553F">
            <w:pPr>
              <w:snapToGrid w:val="0"/>
              <w:spacing w:line="480" w:lineRule="auto"/>
              <w:rPr>
                <w:rFonts w:cs="Times New Roman"/>
                <w:lang/>
              </w:rPr>
            </w:pPr>
            <w:r w:rsidRPr="00BB4771">
              <w:rPr>
                <w:rFonts w:cs="Times New Roman"/>
                <w:lang/>
              </w:rPr>
              <w:t>3 (3.4)</w:t>
            </w:r>
          </w:p>
        </w:tc>
      </w:tr>
    </w:tbl>
    <w:p w:rsidR="007A5427" w:rsidRPr="00BB4771" w:rsidRDefault="007A5427" w:rsidP="007A5427">
      <w:pPr>
        <w:snapToGrid w:val="0"/>
        <w:spacing w:line="480" w:lineRule="auto"/>
        <w:rPr>
          <w:rFonts w:cs="Times New Roman"/>
          <w:bCs/>
          <w:lang/>
        </w:rPr>
      </w:pPr>
      <w:r w:rsidRPr="00BB4771">
        <w:rPr>
          <w:rFonts w:cs="Times New Roman"/>
          <w:bCs/>
        </w:rPr>
        <w:t xml:space="preserve">PPS: per-protocol set; TMF: </w:t>
      </w:r>
      <w:r w:rsidRPr="00BB4771">
        <w:rPr>
          <w:rFonts w:cs="Times New Roman"/>
        </w:rPr>
        <w:t xml:space="preserve">tenofovir amibufenamide; </w:t>
      </w:r>
      <w:r w:rsidRPr="00BB4771">
        <w:rPr>
          <w:rFonts w:cs="Times New Roman"/>
          <w:bCs/>
        </w:rPr>
        <w:t>Q: quartile; HBsAg: h</w:t>
      </w:r>
      <w:r w:rsidRPr="00BB4771">
        <w:rPr>
          <w:rFonts w:cs="Times New Roman"/>
          <w:bCs/>
          <w:lang/>
        </w:rPr>
        <w:t xml:space="preserve">epatitis B surface antigen; HBeAg: hepatitis B e-antigen; IQR: interquartile range; HBV-DNA: hepatitis B virus DNA; ALT: alanine aminotransferase; GFR: glomerular filtration rate; β-CTx: β-isomerized C-terminal telopeptides; P1NP: procollagen type I intact N-terminal propeptide. </w:t>
      </w:r>
    </w:p>
    <w:p w:rsidR="007F4749" w:rsidRDefault="007F4749"/>
    <w:sectPr w:rsidR="007F47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A5427"/>
    <w:rsid w:val="007A5427"/>
    <w:rsid w:val="007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2025-06-25T10:31:00Z</dcterms:created>
  <dcterms:modified xsi:type="dcterms:W3CDTF">2025-06-25T10:31:00Z</dcterms:modified>
</cp:coreProperties>
</file>