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0005">
      <w:pPr>
        <w:rPr>
          <w:b/>
          <w:bCs/>
        </w:rPr>
      </w:pPr>
      <w:r w:rsidRPr="008C0005">
        <w:rPr>
          <w:b/>
          <w:bCs/>
        </w:rPr>
        <w:t>Supplementary Table 1     Demographic, serological, and biochemical parameters characteristics of study subjects</w:t>
      </w:r>
    </w:p>
    <w:tbl>
      <w:tblPr>
        <w:tblW w:w="18600" w:type="dxa"/>
        <w:tblCellMar>
          <w:left w:w="0" w:type="dxa"/>
          <w:right w:w="0" w:type="dxa"/>
        </w:tblCellMar>
        <w:tblLook w:val="04A0"/>
      </w:tblPr>
      <w:tblGrid>
        <w:gridCol w:w="4435"/>
        <w:gridCol w:w="2318"/>
        <w:gridCol w:w="3456"/>
        <w:gridCol w:w="3296"/>
        <w:gridCol w:w="3017"/>
        <w:gridCol w:w="2078"/>
      </w:tblGrid>
      <w:tr w:rsidR="008C0005" w:rsidRPr="008C0005" w:rsidTr="004549FD">
        <w:trPr>
          <w:trHeight w:val="698"/>
        </w:trPr>
        <w:tc>
          <w:tcPr>
            <w:tcW w:w="44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11"/>
                <w:sz w:val="30"/>
                <w:szCs w:val="30"/>
              </w:rPr>
              <w:t>Parameters 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23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11"/>
                <w:sz w:val="30"/>
                <w:szCs w:val="30"/>
              </w:rPr>
              <w:t>Healthy subjects</w:t>
            </w:r>
            <w:r w:rsidRPr="008C0005">
              <w:rPr>
                <w:rFonts w:ascii="Times New Roman" w:eastAsia="宋体" w:hAnsi="宋体" w:cs="Times New Roman" w:hint="eastAsia"/>
                <w:color w:val="000000"/>
                <w:kern w:val="11"/>
                <w:sz w:val="30"/>
                <w:szCs w:val="30"/>
                <w:lang w:eastAsia="zh-CN"/>
              </w:rPr>
              <w:t>（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11"/>
                <w:sz w:val="30"/>
                <w:szCs w:val="30"/>
              </w:rPr>
              <w:t>N=24</w:t>
            </w:r>
            <w:r w:rsidRPr="008C0005">
              <w:rPr>
                <w:rFonts w:ascii="Times New Roman" w:eastAsia="宋体" w:hAnsi="宋体" w:cs="Times New Roman" w:hint="eastAsia"/>
                <w:color w:val="000000"/>
                <w:kern w:val="11"/>
                <w:sz w:val="30"/>
                <w:szCs w:val="30"/>
                <w:lang w:eastAsia="zh-CN"/>
              </w:rPr>
              <w:t>）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3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等线" w:hAnsi="Times New Roman" w:cs="Times New Roman"/>
                <w:color w:val="000000"/>
                <w:kern w:val="24"/>
                <w:sz w:val="30"/>
                <w:szCs w:val="30"/>
                <w:lang w:val="fr-FR"/>
              </w:rPr>
              <w:t xml:space="preserve">Treatment-naïve CHB patients </w:t>
            </w:r>
            <w:r w:rsidRPr="008C0005">
              <w:rPr>
                <w:rFonts w:ascii="Times New Roman" w:eastAsia="宋体" w:hAnsi="宋体" w:cs="Times New Roman" w:hint="eastAsia"/>
                <w:color w:val="000000"/>
                <w:kern w:val="11"/>
                <w:sz w:val="30"/>
                <w:szCs w:val="30"/>
                <w:lang w:eastAsia="zh-CN"/>
              </w:rPr>
              <w:t>（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11"/>
                <w:sz w:val="30"/>
                <w:szCs w:val="30"/>
              </w:rPr>
              <w:t>N=97</w:t>
            </w:r>
            <w:r w:rsidRPr="008C0005">
              <w:rPr>
                <w:rFonts w:ascii="Times New Roman" w:eastAsia="宋体" w:hAnsi="宋体" w:cs="Times New Roman" w:hint="eastAsia"/>
                <w:color w:val="000000"/>
                <w:kern w:val="11"/>
                <w:sz w:val="30"/>
                <w:szCs w:val="30"/>
                <w:lang w:eastAsia="zh-CN"/>
              </w:rPr>
              <w:t>）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11"/>
                <w:sz w:val="30"/>
                <w:szCs w:val="30"/>
              </w:rPr>
              <w:t>Patients with spontaneous HBsAg loss</w:t>
            </w:r>
          </w:p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宋体" w:cs="Times New Roman" w:hint="eastAsia"/>
                <w:color w:val="000000"/>
                <w:kern w:val="11"/>
                <w:sz w:val="30"/>
                <w:szCs w:val="30"/>
                <w:lang w:eastAsia="zh-CN"/>
              </w:rPr>
              <w:t>（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11"/>
                <w:sz w:val="30"/>
                <w:szCs w:val="30"/>
              </w:rPr>
              <w:t>N=18</w:t>
            </w:r>
            <w:r w:rsidRPr="008C0005">
              <w:rPr>
                <w:rFonts w:ascii="Times New Roman" w:eastAsia="宋体" w:hAnsi="宋体" w:cs="Times New Roman" w:hint="eastAsia"/>
                <w:color w:val="000000"/>
                <w:kern w:val="11"/>
                <w:sz w:val="30"/>
                <w:szCs w:val="30"/>
                <w:lang w:eastAsia="zh-CN"/>
              </w:rPr>
              <w:t>）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30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11"/>
                <w:sz w:val="30"/>
                <w:szCs w:val="30"/>
              </w:rPr>
              <w:t>Patients with treatment-related HBsAg loss  (N=31</w:t>
            </w:r>
            <w:r w:rsidRPr="008C0005">
              <w:rPr>
                <w:rFonts w:ascii="Times New Roman" w:eastAsia="宋体" w:hAnsi="宋体" w:cs="Times New Roman" w:hint="eastAsia"/>
                <w:color w:val="000000"/>
                <w:kern w:val="11"/>
                <w:sz w:val="30"/>
                <w:szCs w:val="30"/>
                <w:lang w:eastAsia="zh-CN"/>
              </w:rPr>
              <w:t>）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20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i/>
                <w:iCs/>
                <w:color w:val="000000"/>
                <w:kern w:val="2"/>
                <w:sz w:val="30"/>
                <w:szCs w:val="30"/>
              </w:rPr>
              <w:t>P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 xml:space="preserve"> value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</w:tr>
      <w:tr w:rsidR="008C0005" w:rsidRPr="008C0005" w:rsidTr="004549FD">
        <w:trPr>
          <w:trHeight w:val="620"/>
        </w:trPr>
        <w:tc>
          <w:tcPr>
            <w:tcW w:w="44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11"/>
                <w:sz w:val="30"/>
                <w:szCs w:val="30"/>
              </w:rPr>
              <w:t>Gender male(%)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23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11"/>
                <w:sz w:val="30"/>
                <w:szCs w:val="30"/>
              </w:rPr>
              <w:t>9 (36.0%)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34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11"/>
                <w:sz w:val="30"/>
                <w:szCs w:val="30"/>
              </w:rPr>
              <w:t>59 (60.8%)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11"/>
                <w:sz w:val="30"/>
                <w:szCs w:val="30"/>
              </w:rPr>
              <w:t>9 (50.0%)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30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11"/>
                <w:sz w:val="30"/>
                <w:szCs w:val="30"/>
              </w:rPr>
              <w:t>26 (83.9%)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20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0.002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</w:tr>
      <w:tr w:rsidR="008C0005" w:rsidRPr="008C0005" w:rsidTr="004549FD">
        <w:trPr>
          <w:trHeight w:val="698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11"/>
                <w:sz w:val="30"/>
                <w:szCs w:val="30"/>
              </w:rPr>
              <w:t>Age (year)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11"/>
                <w:sz w:val="30"/>
                <w:szCs w:val="30"/>
              </w:rPr>
              <w:t>27.2±0.78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11"/>
                <w:sz w:val="30"/>
                <w:szCs w:val="30"/>
              </w:rPr>
              <w:t>34.4±1.08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11"/>
                <w:sz w:val="30"/>
                <w:szCs w:val="30"/>
              </w:rPr>
              <w:t>34.1±1.87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11"/>
                <w:sz w:val="30"/>
                <w:szCs w:val="30"/>
              </w:rPr>
              <w:t>39.9±1.94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&lt;0.001</w:t>
            </w:r>
            <w:r w:rsidRPr="008C0005">
              <w:rPr>
                <w:rFonts w:ascii="Calibri" w:eastAsia="宋体" w:hAnsi="Calibri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</w:tr>
      <w:tr w:rsidR="008C0005" w:rsidRPr="008C0005" w:rsidTr="004549FD">
        <w:trPr>
          <w:trHeight w:val="698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HBsAg (log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position w:val="-8"/>
                <w:sz w:val="30"/>
                <w:szCs w:val="30"/>
                <w:vertAlign w:val="subscript"/>
              </w:rPr>
              <w:t xml:space="preserve">10 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IU/mL)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0.0±0.00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4.25</w:t>
            </w:r>
            <w:r w:rsidRPr="008C0005">
              <w:rPr>
                <w:rFonts w:ascii="Times New Roman" w:eastAsia="宋体" w:hAnsi="宋体" w:cs="Times New Roman" w:hint="eastAsia"/>
                <w:color w:val="000000"/>
                <w:kern w:val="2"/>
                <w:sz w:val="30"/>
                <w:szCs w:val="30"/>
              </w:rPr>
              <w:t>±</w:t>
            </w:r>
            <w:r w:rsidRPr="008C0005">
              <w:rPr>
                <w:rFonts w:ascii="Times New Roman" w:eastAsia="宋体" w:hAnsi="宋体" w:cs="Times New Roman" w:hint="eastAsia"/>
                <w:color w:val="000000"/>
                <w:kern w:val="2"/>
                <w:sz w:val="30"/>
                <w:szCs w:val="30"/>
              </w:rPr>
              <w:t>0.25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0.0±0.00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0.0±0.00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&lt;0.001</w:t>
            </w:r>
            <w:r w:rsidRPr="008C0005">
              <w:rPr>
                <w:rFonts w:ascii="Calibri" w:eastAsia="宋体" w:hAnsi="Calibri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</w:tr>
      <w:tr w:rsidR="008C0005" w:rsidRPr="008C0005" w:rsidTr="004549FD">
        <w:trPr>
          <w:trHeight w:val="698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HBeAg positive/negative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0/24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65/32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0/18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0/31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8C0005" w:rsidRPr="008C0005" w:rsidTr="004549FD">
        <w:trPr>
          <w:trHeight w:val="62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HBV DNA (log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position w:val="-8"/>
                <w:sz w:val="30"/>
                <w:szCs w:val="30"/>
                <w:vertAlign w:val="subscript"/>
              </w:rPr>
              <w:t xml:space="preserve">10 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IU/mL)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0.0±0.00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7.87±0.59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0.0±0.00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0.0±0.00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&lt;0.001</w:t>
            </w:r>
            <w:r w:rsidRPr="008C0005">
              <w:rPr>
                <w:rFonts w:ascii="Calibri" w:eastAsia="宋体" w:hAnsi="Calibri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</w:tr>
      <w:tr w:rsidR="008C0005" w:rsidRPr="008C0005" w:rsidTr="004549FD">
        <w:trPr>
          <w:trHeight w:val="62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ALT (IU/L)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17.7±1.47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189.5±1.37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23.1±2.45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35.5±7.26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&lt;0.001</w:t>
            </w:r>
            <w:r w:rsidRPr="008C0005">
              <w:rPr>
                <w:rFonts w:ascii="Calibri" w:eastAsia="宋体" w:hAnsi="Calibri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</w:tr>
      <w:tr w:rsidR="008C0005" w:rsidRPr="008C0005" w:rsidTr="004549FD">
        <w:trPr>
          <w:trHeight w:val="62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AST (IU/L)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19.0±0.82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111.2±8.80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22.6±1.75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31.0±5.66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&lt;0.001</w:t>
            </w:r>
            <w:r w:rsidRPr="008C0005">
              <w:rPr>
                <w:rFonts w:ascii="Calibri" w:eastAsia="宋体" w:hAnsi="Calibri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</w:tr>
      <w:tr w:rsidR="008C0005" w:rsidRPr="008C0005" w:rsidTr="004549FD">
        <w:trPr>
          <w:trHeight w:val="62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TBIL (μmoL/L)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15.8±1.40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17.5±0.75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14.8±1.02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15.2±1.06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&lt;0.001</w:t>
            </w:r>
            <w:r w:rsidRPr="008C0005">
              <w:rPr>
                <w:rFonts w:ascii="Calibri" w:eastAsia="宋体" w:hAnsi="Calibri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</w:tr>
      <w:tr w:rsidR="008C0005" w:rsidRPr="008C0005" w:rsidTr="004549FD">
        <w:trPr>
          <w:trHeight w:val="62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DBIL (μmoL/L)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1.7±0.21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3.2±0.27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1.7±0.19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2.3±0.23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&lt;0.001</w:t>
            </w:r>
            <w:r w:rsidRPr="008C0005">
              <w:rPr>
                <w:rFonts w:ascii="Calibri" w:eastAsia="宋体" w:hAnsi="Calibri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</w:tr>
      <w:tr w:rsidR="008C0005" w:rsidRPr="008C0005" w:rsidTr="004549FD">
        <w:trPr>
          <w:trHeight w:val="62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Platelet count (10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position w:val="9"/>
                <w:sz w:val="30"/>
                <w:szCs w:val="30"/>
                <w:vertAlign w:val="superscript"/>
              </w:rPr>
              <w:t>9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/L)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225.6</w:t>
            </w:r>
            <w:r w:rsidRPr="008C0005">
              <w:rPr>
                <w:rFonts w:ascii="Times New Roman" w:eastAsia="宋体" w:hAnsi="宋体" w:cs="Times New Roman" w:hint="eastAsia"/>
                <w:color w:val="000000"/>
                <w:kern w:val="2"/>
                <w:sz w:val="30"/>
                <w:szCs w:val="30"/>
              </w:rPr>
              <w:t>±</w:t>
            </w:r>
            <w:r w:rsidRPr="008C0005">
              <w:rPr>
                <w:rFonts w:ascii="Times New Roman" w:eastAsia="宋体" w:hAnsi="宋体" w:cs="Times New Roman" w:hint="eastAsia"/>
                <w:color w:val="000000"/>
                <w:kern w:val="2"/>
                <w:sz w:val="30"/>
                <w:szCs w:val="30"/>
              </w:rPr>
              <w:t>10.78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185.6</w:t>
            </w:r>
            <w:r w:rsidRPr="008C0005">
              <w:rPr>
                <w:rFonts w:ascii="Times New Roman" w:eastAsia="宋体" w:hAnsi="宋体" w:cs="Times New Roman" w:hint="eastAsia"/>
                <w:color w:val="000000"/>
                <w:kern w:val="2"/>
                <w:sz w:val="30"/>
                <w:szCs w:val="30"/>
              </w:rPr>
              <w:t>±</w:t>
            </w:r>
            <w:r w:rsidRPr="008C0005">
              <w:rPr>
                <w:rFonts w:ascii="Times New Roman" w:eastAsia="宋体" w:hAnsi="宋体" w:cs="Times New Roman" w:hint="eastAsia"/>
                <w:color w:val="000000"/>
                <w:kern w:val="2"/>
                <w:sz w:val="30"/>
                <w:szCs w:val="30"/>
              </w:rPr>
              <w:t>5.48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230.6</w:t>
            </w:r>
            <w:r w:rsidRPr="008C0005">
              <w:rPr>
                <w:rFonts w:ascii="Times New Roman" w:eastAsia="宋体" w:hAnsi="宋体" w:cs="Times New Roman" w:hint="eastAsia"/>
                <w:color w:val="000000"/>
                <w:kern w:val="2"/>
                <w:sz w:val="30"/>
                <w:szCs w:val="30"/>
              </w:rPr>
              <w:t>±</w:t>
            </w:r>
            <w:r w:rsidRPr="008C0005">
              <w:rPr>
                <w:rFonts w:ascii="Times New Roman" w:eastAsia="宋体" w:hAnsi="宋体" w:cs="Times New Roman" w:hint="eastAsia"/>
                <w:color w:val="000000"/>
                <w:kern w:val="2"/>
                <w:sz w:val="30"/>
                <w:szCs w:val="30"/>
              </w:rPr>
              <w:t>12.44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190.3</w:t>
            </w:r>
            <w:r w:rsidRPr="008C0005">
              <w:rPr>
                <w:rFonts w:ascii="Times New Roman" w:eastAsia="宋体" w:hAnsi="宋体" w:cs="Times New Roman" w:hint="eastAsia"/>
                <w:color w:val="000000"/>
                <w:kern w:val="2"/>
                <w:sz w:val="30"/>
                <w:szCs w:val="30"/>
              </w:rPr>
              <w:t>±</w:t>
            </w:r>
            <w:r w:rsidRPr="008C0005">
              <w:rPr>
                <w:rFonts w:ascii="Times New Roman" w:eastAsia="宋体" w:hAnsi="宋体" w:cs="Times New Roman" w:hint="eastAsia"/>
                <w:color w:val="000000"/>
                <w:kern w:val="2"/>
                <w:sz w:val="30"/>
                <w:szCs w:val="30"/>
              </w:rPr>
              <w:t>8.55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&lt;0.001</w:t>
            </w:r>
            <w:r w:rsidRPr="008C0005">
              <w:rPr>
                <w:rFonts w:ascii="Calibri" w:eastAsia="宋体" w:hAnsi="Calibri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</w:tr>
      <w:tr w:rsidR="008C0005" w:rsidRPr="008C0005" w:rsidTr="004549FD">
        <w:trPr>
          <w:trHeight w:val="620"/>
        </w:trPr>
        <w:tc>
          <w:tcPr>
            <w:tcW w:w="44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lastRenderedPageBreak/>
              <w:t>HBV genotype B/C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NA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35/62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NA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</w:rPr>
              <w:t>NA</w:t>
            </w:r>
            <w:r w:rsidRPr="008C0005">
              <w:rPr>
                <w:rFonts w:ascii="Times New Roman" w:eastAsia="宋体" w:hAnsi="Times New Roman" w:cs="Times New Roman"/>
                <w:color w:val="000000"/>
                <w:kern w:val="2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C0005" w:rsidRPr="008C0005" w:rsidRDefault="008C0005" w:rsidP="008C000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4549FD" w:rsidRPr="004549FD" w:rsidRDefault="004549FD" w:rsidP="004549FD">
      <w:r w:rsidRPr="004549FD">
        <w:t xml:space="preserve">CHB, chronic hepatitis B; HBeAg, hepatitis B e antigen; HBsAg, hepatitis B surface antigen; HBV, hepatitis B virus; ALT, alanine aminotransferase; AST, Aspartate aminotransferase; TBIL, total bilirubin; DBIL, direct bilirubin. </w:t>
      </w:r>
    </w:p>
    <w:p w:rsidR="008C0005" w:rsidRDefault="008C0005"/>
    <w:sectPr w:rsidR="008C0005" w:rsidSect="00470347">
      <w:pgSz w:w="20160" w:h="12240" w:orient="landscape" w:code="5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8C0005"/>
    <w:rsid w:val="004549FD"/>
    <w:rsid w:val="00470347"/>
    <w:rsid w:val="00794AE7"/>
    <w:rsid w:val="008C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5</cp:revision>
  <dcterms:created xsi:type="dcterms:W3CDTF">2022-02-23T06:50:00Z</dcterms:created>
  <dcterms:modified xsi:type="dcterms:W3CDTF">2022-02-23T06:51:00Z</dcterms:modified>
</cp:coreProperties>
</file>