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FD" w:rsidRDefault="003772FD" w:rsidP="003772FD">
      <w:pPr>
        <w:adjustRightInd w:val="0"/>
        <w:snapToGrid w:val="0"/>
        <w:spacing w:line="480" w:lineRule="auto"/>
        <w:rPr>
          <w:b/>
          <w:bCs/>
          <w:kern w:val="2"/>
        </w:rPr>
      </w:pPr>
    </w:p>
    <w:p w:rsidR="003772FD" w:rsidRDefault="003772FD" w:rsidP="003772FD">
      <w:pPr>
        <w:adjustRightInd w:val="0"/>
        <w:snapToGrid w:val="0"/>
        <w:spacing w:line="480" w:lineRule="auto"/>
        <w:jc w:val="both"/>
        <w:rPr>
          <w:rFonts w:eastAsia="等线"/>
          <w:b/>
          <w:bCs/>
          <w:kern w:val="2"/>
        </w:rPr>
      </w:pPr>
      <w:r>
        <w:rPr>
          <w:rFonts w:eastAsia="等线"/>
          <w:kern w:val="2"/>
        </w:rPr>
        <w:t>Supplementary Table 1</w:t>
      </w:r>
      <w:r>
        <w:rPr>
          <w:rFonts w:eastAsia="等线"/>
          <w:b/>
          <w:bCs/>
          <w:kern w:val="2"/>
        </w:rPr>
        <w:t>. Critical comparison of myosteatosis assessment modalities</w:t>
      </w:r>
    </w:p>
    <w:tbl>
      <w:tblPr>
        <w:tblW w:w="1358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694"/>
        <w:gridCol w:w="2126"/>
        <w:gridCol w:w="1478"/>
        <w:gridCol w:w="1924"/>
        <w:gridCol w:w="3657"/>
      </w:tblGrid>
      <w:tr w:rsidR="003772FD" w:rsidTr="00926893">
        <w:trPr>
          <w:trHeight w:val="1086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kern w:val="2"/>
              </w:rPr>
            </w:pPr>
            <w:r>
              <w:rPr>
                <w:rFonts w:eastAsia="等线"/>
                <w:kern w:val="2"/>
              </w:rPr>
              <w:t>Assessment modality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kern w:val="2"/>
              </w:rPr>
            </w:pPr>
            <w:r>
              <w:rPr>
                <w:rFonts w:eastAsia="等线"/>
                <w:kern w:val="2"/>
              </w:rPr>
              <w:t>Accuracy (for myosteatosis detection)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kern w:val="2"/>
              </w:rPr>
            </w:pPr>
            <w:r>
              <w:rPr>
                <w:rFonts w:eastAsia="等线"/>
                <w:kern w:val="2"/>
              </w:rPr>
              <w:t>Accessibility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kern w:val="2"/>
              </w:rPr>
            </w:pPr>
            <w:r>
              <w:rPr>
                <w:rFonts w:eastAsia="等线"/>
                <w:kern w:val="2"/>
              </w:rPr>
              <w:t>Cost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kern w:val="2"/>
              </w:rPr>
            </w:pPr>
            <w:r>
              <w:rPr>
                <w:rFonts w:eastAsia="等线"/>
                <w:kern w:val="2"/>
              </w:rPr>
              <w:t>Radiation exposure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kern w:val="2"/>
              </w:rPr>
            </w:pPr>
            <w:r>
              <w:rPr>
                <w:rFonts w:eastAsia="等线"/>
                <w:kern w:val="2"/>
              </w:rPr>
              <w:t>Applicability to special populations</w:t>
            </w:r>
          </w:p>
        </w:tc>
      </w:tr>
      <w:tr w:rsidR="003772FD" w:rsidTr="00926893">
        <w:trPr>
          <w:trHeight w:val="1525"/>
        </w:trPr>
        <w:tc>
          <w:tcPr>
            <w:tcW w:w="1701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CT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High (gold standard for muscle radiodensity)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Wide (available in most hospitals)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Moderate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Yes (cumulative risk for repeated scans)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Opportunistic CT imaging (primarily abdominal CT imaging performed for other purposes);</w:t>
            </w:r>
          </w:p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Problematic in fluid-overloaded patients</w:t>
            </w:r>
          </w:p>
        </w:tc>
      </w:tr>
      <w:tr w:rsidR="003772FD" w:rsidTr="00926893">
        <w:trPr>
          <w:trHeight w:val="1525"/>
        </w:trPr>
        <w:tc>
          <w:tcPr>
            <w:tcW w:w="170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MRI</w:t>
            </w:r>
          </w:p>
        </w:tc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High (directly quantifies intramuscular fat fraction)</w:t>
            </w:r>
          </w:p>
        </w:tc>
        <w:tc>
          <w:tcPr>
            <w:tcW w:w="21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Moderate (limited in primary care settings)</w:t>
            </w:r>
          </w:p>
        </w:tc>
        <w:tc>
          <w:tcPr>
            <w:tcW w:w="147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High</w:t>
            </w:r>
          </w:p>
        </w:tc>
        <w:tc>
          <w:tcPr>
            <w:tcW w:w="192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No</w:t>
            </w:r>
          </w:p>
        </w:tc>
        <w:tc>
          <w:tcPr>
            <w:tcW w:w="365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Excellent alternative, especially for longitudinal studies requiring repeated measures;</w:t>
            </w:r>
          </w:p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Contraindicated in patients with metal implants</w:t>
            </w:r>
          </w:p>
        </w:tc>
      </w:tr>
      <w:tr w:rsidR="003772FD" w:rsidTr="00926893">
        <w:trPr>
          <w:trHeight w:val="1338"/>
        </w:trPr>
        <w:tc>
          <w:tcPr>
            <w:tcW w:w="1701" w:type="dxa"/>
            <w:tcBorders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US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Moderate (operator dependent)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Very high (portable; point-of-care use)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Low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jc w:val="both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No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772FD" w:rsidRDefault="003772FD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Promising but not yet standard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="等线"/>
                <w:b/>
                <w:bCs/>
                <w:kern w:val="2"/>
              </w:rPr>
              <w:t>(Limited ability to assess deep muscles; More research is needed to establish robust protocols)</w:t>
            </w:r>
          </w:p>
        </w:tc>
      </w:tr>
    </w:tbl>
    <w:p w:rsidR="003772FD" w:rsidRDefault="003772FD" w:rsidP="003772FD">
      <w:pPr>
        <w:adjustRightInd w:val="0"/>
        <w:snapToGrid w:val="0"/>
        <w:spacing w:line="480" w:lineRule="auto"/>
        <w:jc w:val="both"/>
        <w:rPr>
          <w:rFonts w:eastAsia="等线"/>
          <w:b/>
          <w:bCs/>
          <w:kern w:val="2"/>
        </w:rPr>
      </w:pPr>
      <w:r>
        <w:rPr>
          <w:rFonts w:eastAsia="等线"/>
          <w:b/>
          <w:bCs/>
          <w:kern w:val="2"/>
        </w:rPr>
        <w:lastRenderedPageBreak/>
        <w:t>CT, computed tomography; MRI, magnetic resonance imaging; US, ultrasound.</w:t>
      </w:r>
    </w:p>
    <w:p w:rsidR="003772FD" w:rsidRDefault="003772FD" w:rsidP="003772FD">
      <w:pPr>
        <w:adjustRightInd w:val="0"/>
        <w:snapToGrid w:val="0"/>
        <w:spacing w:line="480" w:lineRule="auto"/>
      </w:pPr>
    </w:p>
    <w:p w:rsidR="00F814AE" w:rsidRDefault="00F814AE"/>
    <w:sectPr w:rsidR="00F814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3772FD"/>
    <w:rsid w:val="003772FD"/>
    <w:rsid w:val="00F8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2025-10-23T02:00:00Z</dcterms:created>
  <dcterms:modified xsi:type="dcterms:W3CDTF">2025-10-23T02:00:00Z</dcterms:modified>
</cp:coreProperties>
</file>