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B127E" w14:textId="77777777" w:rsidR="00FE501C" w:rsidRDefault="00FE501C" w:rsidP="00FE501C">
      <w:pPr>
        <w:pStyle w:val="NormalWeb"/>
        <w:widowControl/>
        <w:jc w:val="center"/>
        <w:rPr>
          <w:u w:val="none"/>
        </w:rPr>
      </w:pPr>
      <w:r>
        <w:rPr>
          <w:noProof/>
          <w:u w:val="none"/>
        </w:rPr>
        <w:drawing>
          <wp:inline distT="0" distB="0" distL="114300" distR="114300" wp14:anchorId="58D91198" wp14:editId="1A84E2D1">
            <wp:extent cx="5039995" cy="7861300"/>
            <wp:effectExtent l="0" t="0" r="1905" b="0"/>
            <wp:docPr id="1" name="图片 1" descr="supplementary figure 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2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653B8" w14:textId="0971410C" w:rsidR="0067415F" w:rsidRDefault="00FE501C" w:rsidP="00FE501C">
      <w:r>
        <w:rPr>
          <w:b/>
          <w:bCs/>
          <w:color w:val="000000" w:themeColor="text1"/>
          <w:sz w:val="22"/>
          <w:szCs w:val="20"/>
        </w:rPr>
        <w:lastRenderedPageBreak/>
        <w:t xml:space="preserve">Supplementary Fig 2. Characterization of immune cell populations in </w:t>
      </w:r>
      <w:r>
        <w:rPr>
          <w:b/>
          <w:bCs/>
          <w:i/>
          <w:iCs/>
          <w:color w:val="000000" w:themeColor="text1"/>
          <w:sz w:val="22"/>
          <w:szCs w:val="20"/>
        </w:rPr>
        <w:t>Fn</w:t>
      </w:r>
      <w:r>
        <w:rPr>
          <w:b/>
          <w:bCs/>
          <w:color w:val="000000" w:themeColor="text1"/>
          <w:sz w:val="22"/>
          <w:szCs w:val="20"/>
        </w:rPr>
        <w:t>1‑knockout versus wild‑type HCC.</w:t>
      </w:r>
      <w:r>
        <w:rPr>
          <w:b/>
          <w:bCs/>
          <w:sz w:val="22"/>
          <w:szCs w:val="20"/>
        </w:rPr>
        <w:t xml:space="preserve"> </w:t>
      </w:r>
      <w:r>
        <w:rPr>
          <w:sz w:val="22"/>
          <w:szCs w:val="22"/>
        </w:rPr>
        <w:t>(</w:t>
      </w:r>
      <w:r>
        <w:rPr>
          <w:b/>
          <w:bCs/>
          <w:sz w:val="22"/>
          <w:szCs w:val="22"/>
        </w:rPr>
        <w:t>A</w:t>
      </w:r>
      <w:r>
        <w:rPr>
          <w:sz w:val="22"/>
          <w:szCs w:val="22"/>
        </w:rPr>
        <w:t xml:space="preserve">) Gene Ontology (GO) enrichment analysis of </w:t>
      </w:r>
      <w:r>
        <w:rPr>
          <w:i/>
          <w:iCs/>
          <w:sz w:val="22"/>
          <w:szCs w:val="22"/>
        </w:rPr>
        <w:t>Fn1</w:t>
      </w:r>
      <w:r>
        <w:rPr>
          <w:sz w:val="22"/>
          <w:szCs w:val="22"/>
        </w:rPr>
        <w:t>‒knockout versus wild-type tumor tissues.</w:t>
      </w:r>
      <w:r>
        <w:rPr>
          <w:b/>
          <w:bCs/>
          <w:sz w:val="22"/>
          <w:szCs w:val="20"/>
        </w:rPr>
        <w:t xml:space="preserve"> </w:t>
      </w:r>
      <w:r>
        <w:rPr>
          <w:sz w:val="22"/>
          <w:szCs w:val="22"/>
        </w:rPr>
        <w:t>(</w:t>
      </w:r>
      <w:r>
        <w:rPr>
          <w:rFonts w:hint="eastAsia"/>
          <w:b/>
          <w:bCs/>
          <w:sz w:val="22"/>
          <w:szCs w:val="22"/>
        </w:rPr>
        <w:t>B</w:t>
      </w:r>
      <w:r>
        <w:rPr>
          <w:sz w:val="22"/>
          <w:szCs w:val="22"/>
        </w:rPr>
        <w:t>)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16"/>
          <w:lang w:bidi="ar"/>
        </w:rPr>
        <w:t>Representative H&amp;E and IHC staining of type I and type III collagen in subcutaneous tumor sections.</w:t>
      </w:r>
      <w:r>
        <w:rPr>
          <w:sz w:val="22"/>
          <w:szCs w:val="22"/>
        </w:rPr>
        <w:t xml:space="preserve"> (</w:t>
      </w:r>
      <w:r>
        <w:rPr>
          <w:rFonts w:hint="eastAsia"/>
          <w:b/>
          <w:bCs/>
          <w:sz w:val="22"/>
          <w:szCs w:val="22"/>
        </w:rPr>
        <w:t>C</w:t>
      </w:r>
      <w:r>
        <w:rPr>
          <w:b/>
          <w:bCs/>
          <w:sz w:val="22"/>
          <w:szCs w:val="22"/>
        </w:rPr>
        <w:t>-</w:t>
      </w:r>
      <w:r>
        <w:rPr>
          <w:rFonts w:hint="eastAsia"/>
          <w:b/>
          <w:bCs/>
          <w:sz w:val="22"/>
          <w:szCs w:val="22"/>
        </w:rPr>
        <w:t>F</w:t>
      </w:r>
      <w:r>
        <w:rPr>
          <w:sz w:val="22"/>
          <w:szCs w:val="22"/>
        </w:rPr>
        <w:t>) Immune infiltration profiling in the TCGA-LIHC cohort using four computational algorithms: (</w:t>
      </w:r>
      <w:r>
        <w:rPr>
          <w:rFonts w:hint="eastAsia"/>
          <w:b/>
          <w:bCs/>
          <w:sz w:val="22"/>
          <w:szCs w:val="22"/>
        </w:rPr>
        <w:t>C</w:t>
      </w:r>
      <w:r>
        <w:rPr>
          <w:sz w:val="22"/>
          <w:szCs w:val="22"/>
        </w:rPr>
        <w:t>) QUANTISEQ, (</w:t>
      </w:r>
      <w:r>
        <w:rPr>
          <w:rFonts w:hint="eastAsia"/>
          <w:b/>
          <w:bCs/>
          <w:sz w:val="22"/>
          <w:szCs w:val="22"/>
        </w:rPr>
        <w:t>D</w:t>
      </w:r>
      <w:r>
        <w:rPr>
          <w:sz w:val="22"/>
          <w:szCs w:val="22"/>
        </w:rPr>
        <w:t>) CIBERSORT, (</w:t>
      </w:r>
      <w:r>
        <w:rPr>
          <w:rFonts w:hint="eastAsia"/>
          <w:b/>
          <w:bCs/>
          <w:sz w:val="22"/>
          <w:szCs w:val="22"/>
        </w:rPr>
        <w:t>E</w:t>
      </w:r>
      <w:r>
        <w:rPr>
          <w:sz w:val="22"/>
          <w:szCs w:val="22"/>
        </w:rPr>
        <w:t>) TIMER, and (</w:t>
      </w:r>
      <w:r>
        <w:rPr>
          <w:rFonts w:hint="eastAsia"/>
          <w:b/>
          <w:bCs/>
          <w:sz w:val="22"/>
          <w:szCs w:val="22"/>
        </w:rPr>
        <w:t>F</w:t>
      </w:r>
      <w:r>
        <w:rPr>
          <w:sz w:val="22"/>
          <w:szCs w:val="22"/>
        </w:rPr>
        <w:t>) MCPcounter. (</w:t>
      </w:r>
      <w:r>
        <w:rPr>
          <w:rFonts w:hint="eastAsia"/>
          <w:b/>
          <w:bCs/>
          <w:sz w:val="22"/>
          <w:szCs w:val="22"/>
        </w:rPr>
        <w:t>G</w:t>
      </w:r>
      <w:r>
        <w:rPr>
          <w:b/>
          <w:bCs/>
          <w:sz w:val="22"/>
          <w:szCs w:val="22"/>
        </w:rPr>
        <w:t>-</w:t>
      </w:r>
      <w:r>
        <w:rPr>
          <w:rFonts w:hint="eastAsia"/>
          <w:b/>
          <w:bCs/>
          <w:sz w:val="22"/>
          <w:szCs w:val="22"/>
        </w:rPr>
        <w:t>H</w:t>
      </w:r>
      <w:r>
        <w:rPr>
          <w:sz w:val="22"/>
          <w:szCs w:val="22"/>
        </w:rPr>
        <w:t>) Flow cytometry analysis of immune cell populations in tumor tissues: (</w:t>
      </w:r>
      <w:r>
        <w:rPr>
          <w:rFonts w:hint="eastAsia"/>
          <w:b/>
          <w:bCs/>
          <w:sz w:val="22"/>
          <w:szCs w:val="22"/>
        </w:rPr>
        <w:t>G</w:t>
      </w:r>
      <w:r>
        <w:rPr>
          <w:sz w:val="22"/>
          <w:szCs w:val="22"/>
        </w:rPr>
        <w:t>) M1 macrophages, (</w:t>
      </w:r>
      <w:r>
        <w:rPr>
          <w:rFonts w:hint="eastAsia"/>
          <w:b/>
          <w:bCs/>
          <w:sz w:val="22"/>
          <w:szCs w:val="22"/>
        </w:rPr>
        <w:t>H</w:t>
      </w:r>
      <w:r>
        <w:rPr>
          <w:sz w:val="22"/>
          <w:szCs w:val="22"/>
        </w:rPr>
        <w:t>) CD8</w:t>
      </w:r>
      <w:r>
        <w:rPr>
          <w:sz w:val="22"/>
          <w:szCs w:val="22"/>
          <w:vertAlign w:val="superscript"/>
        </w:rPr>
        <w:t>+</w:t>
      </w:r>
      <w:r>
        <w:rPr>
          <w:sz w:val="22"/>
          <w:szCs w:val="22"/>
        </w:rPr>
        <w:t xml:space="preserve"> T cells and IFN-γ</w:t>
      </w:r>
      <w:r>
        <w:rPr>
          <w:sz w:val="22"/>
          <w:szCs w:val="22"/>
          <w:vertAlign w:val="superscript"/>
        </w:rPr>
        <w:t>+</w:t>
      </w:r>
      <w:r>
        <w:rPr>
          <w:sz w:val="22"/>
          <w:szCs w:val="22"/>
        </w:rPr>
        <w:t xml:space="preserve"> CD8</w:t>
      </w:r>
      <w:r>
        <w:rPr>
          <w:sz w:val="22"/>
          <w:szCs w:val="22"/>
          <w:vertAlign w:val="superscript"/>
        </w:rPr>
        <w:t>+</w:t>
      </w:r>
      <w:r>
        <w:rPr>
          <w:sz w:val="22"/>
          <w:szCs w:val="22"/>
        </w:rPr>
        <w:t xml:space="preserve"> T cells. (</w:t>
      </w:r>
      <w:r>
        <w:rPr>
          <w:rFonts w:hint="eastAsia"/>
          <w:b/>
          <w:bCs/>
          <w:sz w:val="22"/>
          <w:szCs w:val="22"/>
        </w:rPr>
        <w:t>I</w:t>
      </w:r>
      <w:r>
        <w:rPr>
          <w:sz w:val="22"/>
          <w:szCs w:val="22"/>
        </w:rPr>
        <w:t xml:space="preserve">) Gene Set Enrichment Analysis (GSEA) of tumor tissues based on FN1 expression. Data are presented as mean ± SD. Statistical significance was determined by Student’s </w:t>
      </w:r>
      <w:r>
        <w:rPr>
          <w:i/>
          <w:iCs/>
          <w:sz w:val="22"/>
          <w:szCs w:val="22"/>
        </w:rPr>
        <w:t>t</w:t>
      </w:r>
      <w:r>
        <w:rPr>
          <w:sz w:val="22"/>
          <w:szCs w:val="22"/>
        </w:rPr>
        <w:t xml:space="preserve">-test .* 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 &lt; 0.05, ** 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 &lt; 0.01, *** 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 &lt; 0.001, **** 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 &lt; 0.0001</w:t>
      </w:r>
      <w:r>
        <w:rPr>
          <w:sz w:val="22"/>
          <w:szCs w:val="20"/>
        </w:rPr>
        <w:t xml:space="preserve"> ns, no significance.</w:t>
      </w:r>
    </w:p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aiTi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EA2"/>
    <w:rsid w:val="00223EAF"/>
    <w:rsid w:val="004244E6"/>
    <w:rsid w:val="00455EA2"/>
    <w:rsid w:val="0067415F"/>
    <w:rsid w:val="00A0740A"/>
    <w:rsid w:val="00FE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75AC86-1529-46C8-922E-B05F5B5F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5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E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E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E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E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E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E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E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E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E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E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E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5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E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E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E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E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E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EA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qFormat/>
    <w:rsid w:val="00FE501C"/>
    <w:pPr>
      <w:widowControl w:val="0"/>
      <w:spacing w:beforeAutospacing="1" w:after="0" w:afterAutospacing="1" w:line="240" w:lineRule="auto"/>
    </w:pPr>
    <w:rPr>
      <w:rFonts w:ascii="Times New Roman" w:eastAsia="KaiTi" w:hAnsi="Times New Roman" w:cs="Times New Roman"/>
      <w:kern w:val="0"/>
      <w:u w:val="thick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2026-06-20T22:49:00Z</dcterms:created>
  <dcterms:modified xsi:type="dcterms:W3CDTF">2026-06-20T22:49:00Z</dcterms:modified>
</cp:coreProperties>
</file>