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8B1DA" w14:textId="77777777" w:rsidR="008051CF" w:rsidRDefault="008051CF" w:rsidP="008051CF"/>
    <w:p w14:paraId="374BD27C" w14:textId="77777777" w:rsidR="008051CF" w:rsidRDefault="008051CF" w:rsidP="008051CF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31CA9649" wp14:editId="43F43F11">
            <wp:extent cx="5266690" cy="8943340"/>
            <wp:effectExtent l="0" t="0" r="3810" b="10160"/>
            <wp:docPr id="2" name="图片 2" descr="supplementary figure 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1_画板 1"/>
                    <pic:cNvPicPr>
                      <a:picLocks noChangeAspect="1"/>
                    </pic:cNvPicPr>
                  </pic:nvPicPr>
                  <pic:blipFill>
                    <a:blip r:embed="rId4"/>
                    <a:srcRect r="72" b="28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94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4C376" w14:textId="72D6B42A" w:rsidR="0067415F" w:rsidRDefault="008051CF" w:rsidP="008051CF">
      <w:r>
        <w:rPr>
          <w:b/>
          <w:bCs/>
          <w:sz w:val="22"/>
          <w:szCs w:val="20"/>
        </w:rPr>
        <w:lastRenderedPageBreak/>
        <w:t xml:space="preserve">Supplementary Fig </w:t>
      </w:r>
      <w:r>
        <w:rPr>
          <w:rFonts w:hint="eastAsia"/>
          <w:b/>
          <w:bCs/>
          <w:sz w:val="22"/>
          <w:szCs w:val="20"/>
        </w:rPr>
        <w:t xml:space="preserve">1. </w:t>
      </w:r>
      <w:r>
        <w:rPr>
          <w:rFonts w:cs="KaiTi" w:hint="eastAsia"/>
          <w:b/>
          <w:bCs/>
          <w:color w:val="000000" w:themeColor="text1"/>
          <w:sz w:val="22"/>
          <w:szCs w:val="20"/>
        </w:rPr>
        <w:t xml:space="preserve">Validation of </w:t>
      </w:r>
      <w:r>
        <w:rPr>
          <w:rFonts w:cs="KaiTi" w:hint="eastAsia"/>
          <w:b/>
          <w:bCs/>
          <w:i/>
          <w:iCs/>
          <w:color w:val="000000" w:themeColor="text1"/>
          <w:sz w:val="22"/>
          <w:szCs w:val="20"/>
        </w:rPr>
        <w:t>Fn1</w:t>
      </w:r>
      <w:r>
        <w:rPr>
          <w:rFonts w:cs="KaiTi" w:hint="eastAsia"/>
          <w:b/>
          <w:bCs/>
          <w:color w:val="000000" w:themeColor="text1"/>
          <w:sz w:val="22"/>
          <w:szCs w:val="20"/>
        </w:rPr>
        <w:t xml:space="preserve"> knockout and phenotypic characterization of </w:t>
      </w:r>
      <w:r>
        <w:rPr>
          <w:rFonts w:cs="KaiTi" w:hint="eastAsia"/>
          <w:b/>
          <w:bCs/>
          <w:i/>
          <w:iCs/>
          <w:color w:val="000000" w:themeColor="text1"/>
          <w:sz w:val="22"/>
          <w:szCs w:val="20"/>
        </w:rPr>
        <w:t>Fn1</w:t>
      </w:r>
      <w:r>
        <w:rPr>
          <w:rFonts w:cs="KaiTi"/>
          <w:b/>
          <w:bCs/>
          <w:color w:val="000000" w:themeColor="text1"/>
          <w:sz w:val="22"/>
          <w:szCs w:val="20"/>
        </w:rPr>
        <w:t>‑</w:t>
      </w:r>
      <w:r>
        <w:rPr>
          <w:rFonts w:cs="KaiTi" w:hint="eastAsia"/>
          <w:b/>
          <w:bCs/>
          <w:color w:val="000000" w:themeColor="text1"/>
          <w:sz w:val="22"/>
          <w:szCs w:val="20"/>
        </w:rPr>
        <w:t>knockout HCC cells.</w:t>
      </w:r>
      <w:r>
        <w:rPr>
          <w:rFonts w:hint="eastAsia"/>
          <w:b/>
          <w:bCs/>
          <w:sz w:val="22"/>
          <w:szCs w:val="20"/>
        </w:rPr>
        <w:t xml:space="preserve"> </w:t>
      </w:r>
      <w:r>
        <w:rPr>
          <w:rFonts w:hint="eastAsia"/>
          <w:sz w:val="22"/>
          <w:szCs w:val="20"/>
        </w:rPr>
        <w:t>(</w:t>
      </w:r>
      <w:r>
        <w:rPr>
          <w:b/>
          <w:bCs/>
          <w:sz w:val="22"/>
          <w:szCs w:val="20"/>
        </w:rPr>
        <w:t>A</w:t>
      </w:r>
      <w:r>
        <w:rPr>
          <w:rFonts w:hint="eastAsia"/>
          <w:sz w:val="22"/>
          <w:szCs w:val="20"/>
        </w:rPr>
        <w:t>)</w:t>
      </w:r>
      <w:r>
        <w:rPr>
          <w:rFonts w:hint="eastAsia"/>
          <w:sz w:val="22"/>
          <w:szCs w:val="22"/>
        </w:rPr>
        <w:t xml:space="preserve">: </w:t>
      </w:r>
      <w:r>
        <w:rPr>
          <w:rFonts w:eastAsia="SimSun"/>
          <w:sz w:val="22"/>
          <w:szCs w:val="22"/>
          <w:lang w:bidi="ar"/>
        </w:rPr>
        <w:t>Schematic representation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  <w:u w:val="dotted"/>
        </w:rPr>
        <w:t>of</w:t>
      </w:r>
      <w:r>
        <w:rPr>
          <w:rFonts w:hint="eastAsia"/>
          <w:sz w:val="22"/>
          <w:szCs w:val="22"/>
        </w:rPr>
        <w:t xml:space="preserve"> four sgRNAs target sites within the mouse </w:t>
      </w:r>
      <w:r>
        <w:rPr>
          <w:rFonts w:hint="eastAsia"/>
          <w:i/>
          <w:iCs/>
          <w:sz w:val="22"/>
          <w:szCs w:val="22"/>
        </w:rPr>
        <w:t>Fn1</w:t>
      </w:r>
      <w:r>
        <w:rPr>
          <w:rFonts w:hint="eastAsia"/>
          <w:sz w:val="22"/>
          <w:szCs w:val="22"/>
        </w:rPr>
        <w:t xml:space="preserve"> genom</w:t>
      </w:r>
      <w:r>
        <w:rPr>
          <w:rFonts w:hint="eastAsia"/>
          <w:sz w:val="22"/>
          <w:szCs w:val="22"/>
          <w:u w:val="dotted"/>
        </w:rPr>
        <w:t>e</w:t>
      </w:r>
      <w:r>
        <w:rPr>
          <w:rFonts w:hint="eastAsia"/>
          <w:sz w:val="22"/>
          <w:szCs w:val="22"/>
        </w:rPr>
        <w:t xml:space="preserve">. </w:t>
      </w:r>
      <w:r>
        <w:rPr>
          <w:rFonts w:hint="eastAsia"/>
          <w:sz w:val="22"/>
          <w:szCs w:val="20"/>
        </w:rPr>
        <w:t>(</w:t>
      </w:r>
      <w:r>
        <w:rPr>
          <w:rFonts w:hint="eastAsia"/>
          <w:b/>
          <w:bCs/>
          <w:sz w:val="22"/>
          <w:szCs w:val="20"/>
        </w:rPr>
        <w:t>B-D</w:t>
      </w:r>
      <w:r>
        <w:rPr>
          <w:rFonts w:hint="eastAsia"/>
          <w:sz w:val="22"/>
          <w:szCs w:val="20"/>
        </w:rPr>
        <w:t>)</w:t>
      </w:r>
      <w:r>
        <w:rPr>
          <w:rFonts w:hint="eastAsia"/>
          <w:sz w:val="22"/>
          <w:szCs w:val="22"/>
        </w:rPr>
        <w:t xml:space="preserve">: Validation of </w:t>
      </w:r>
      <w:r>
        <w:rPr>
          <w:rFonts w:hint="eastAsia"/>
          <w:i/>
          <w:iCs/>
          <w:sz w:val="22"/>
          <w:szCs w:val="22"/>
        </w:rPr>
        <w:t>Fn1</w:t>
      </w:r>
      <w:r>
        <w:rPr>
          <w:rFonts w:hint="eastAsia"/>
          <w:sz w:val="22"/>
          <w:szCs w:val="22"/>
        </w:rPr>
        <w:t xml:space="preserve"> knockout in Hepa1-6 cells transfected with plasmids expressing sgRNA combinations: sgFn1(1+3), sgFn1(1+4), sgFn1(2+3), sgFn1(2+4), sgFn1(3+4), or empty vector (PX458). Cells were harvested 48 hours post-transfection for genomic DNA and protein analysis. (</w:t>
      </w:r>
      <w:r>
        <w:rPr>
          <w:rFonts w:hint="eastAsia"/>
          <w:b/>
          <w:bCs/>
          <w:sz w:val="22"/>
          <w:szCs w:val="22"/>
        </w:rPr>
        <w:t>B</w:t>
      </w:r>
      <w:r>
        <w:rPr>
          <w:rFonts w:hint="eastAsia"/>
          <w:sz w:val="22"/>
          <w:szCs w:val="22"/>
        </w:rPr>
        <w:t xml:space="preserve">) PCR amplification of genomic DNA using </w:t>
      </w:r>
      <w:r>
        <w:rPr>
          <w:rFonts w:hint="eastAsia"/>
          <w:i/>
          <w:iCs/>
          <w:sz w:val="22"/>
          <w:szCs w:val="22"/>
        </w:rPr>
        <w:t>Fn1</w:t>
      </w:r>
      <w:r>
        <w:rPr>
          <w:rFonts w:hint="eastAsia"/>
          <w:sz w:val="22"/>
          <w:szCs w:val="22"/>
        </w:rPr>
        <w:t xml:space="preserve">-specific primers (F-R). </w:t>
      </w:r>
      <w:r>
        <w:rPr>
          <w:rFonts w:hint="eastAsia"/>
          <w:sz w:val="22"/>
          <w:szCs w:val="20"/>
        </w:rPr>
        <w:t>(</w:t>
      </w:r>
      <w:r>
        <w:rPr>
          <w:rFonts w:hint="eastAsia"/>
          <w:b/>
          <w:bCs/>
          <w:sz w:val="22"/>
          <w:szCs w:val="20"/>
        </w:rPr>
        <w:t>C</w:t>
      </w:r>
      <w:r>
        <w:rPr>
          <w:rFonts w:hint="eastAsia"/>
          <w:sz w:val="22"/>
          <w:szCs w:val="20"/>
        </w:rPr>
        <w:t>)</w:t>
      </w:r>
      <w:r>
        <w:rPr>
          <w:rFonts w:hint="eastAsia"/>
          <w:sz w:val="22"/>
          <w:szCs w:val="22"/>
        </w:rPr>
        <w:t xml:space="preserve"> Western blot analysis of </w:t>
      </w:r>
      <w:r>
        <w:rPr>
          <w:rFonts w:hint="eastAsia"/>
          <w:i/>
          <w:iCs/>
          <w:sz w:val="22"/>
          <w:szCs w:val="22"/>
        </w:rPr>
        <w:t>Fn1</w:t>
      </w:r>
      <w:r>
        <w:rPr>
          <w:rFonts w:hint="eastAsia"/>
          <w:sz w:val="22"/>
          <w:szCs w:val="22"/>
        </w:rPr>
        <w:t xml:space="preserve"> expression in cells transfected with sgFn1(1+4), sgFn1(2+4), or PX458. </w:t>
      </w:r>
      <w:r>
        <w:rPr>
          <w:rFonts w:hint="eastAsia"/>
          <w:sz w:val="22"/>
          <w:szCs w:val="20"/>
        </w:rPr>
        <w:t>(</w:t>
      </w:r>
      <w:r>
        <w:rPr>
          <w:rFonts w:hint="eastAsia"/>
          <w:b/>
          <w:bCs/>
          <w:sz w:val="22"/>
          <w:szCs w:val="20"/>
        </w:rPr>
        <w:t>D</w:t>
      </w:r>
      <w:r>
        <w:rPr>
          <w:rFonts w:hint="eastAsia"/>
          <w:sz w:val="22"/>
          <w:szCs w:val="20"/>
        </w:rPr>
        <w:t>)</w:t>
      </w:r>
      <w:r>
        <w:rPr>
          <w:rFonts w:hint="eastAsia"/>
          <w:sz w:val="22"/>
          <w:szCs w:val="22"/>
        </w:rPr>
        <w:t xml:space="preserve"> Sanger sequencing chromatogram of the PCR product. </w:t>
      </w:r>
      <w:r>
        <w:rPr>
          <w:rFonts w:hint="eastAsia"/>
          <w:sz w:val="22"/>
          <w:szCs w:val="20"/>
        </w:rPr>
        <w:t>(</w:t>
      </w:r>
      <w:r>
        <w:rPr>
          <w:rFonts w:hint="eastAsia"/>
          <w:b/>
          <w:bCs/>
          <w:sz w:val="22"/>
          <w:szCs w:val="20"/>
        </w:rPr>
        <w:t>E</w:t>
      </w:r>
      <w:r>
        <w:rPr>
          <w:rFonts w:hint="eastAsia"/>
          <w:sz w:val="22"/>
          <w:szCs w:val="20"/>
        </w:rPr>
        <w:t>)</w:t>
      </w:r>
      <w:r>
        <w:rPr>
          <w:rFonts w:hint="eastAsia"/>
          <w:sz w:val="22"/>
          <w:szCs w:val="22"/>
        </w:rPr>
        <w:t xml:space="preserve"> Independent validation of </w:t>
      </w:r>
      <w:r>
        <w:rPr>
          <w:rFonts w:hint="eastAsia"/>
          <w:i/>
          <w:iCs/>
          <w:sz w:val="22"/>
          <w:szCs w:val="22"/>
        </w:rPr>
        <w:t>Fn1</w:t>
      </w:r>
      <w:r>
        <w:rPr>
          <w:rFonts w:hint="eastAsia"/>
          <w:sz w:val="22"/>
          <w:szCs w:val="22"/>
        </w:rPr>
        <w:t xml:space="preserve"> knockout in H2.35 cells transfected with sgFn1(1+4) via PCR, Sanger sequencing, and Western blot. </w:t>
      </w:r>
      <w:r>
        <w:rPr>
          <w:rFonts w:hint="eastAsia"/>
          <w:sz w:val="22"/>
          <w:szCs w:val="20"/>
        </w:rPr>
        <w:t>(</w:t>
      </w:r>
      <w:r>
        <w:rPr>
          <w:rFonts w:hint="eastAsia"/>
          <w:b/>
          <w:bCs/>
          <w:sz w:val="22"/>
          <w:szCs w:val="20"/>
        </w:rPr>
        <w:t>F</w:t>
      </w:r>
      <w:r>
        <w:rPr>
          <w:rFonts w:hint="eastAsia"/>
          <w:sz w:val="22"/>
          <w:szCs w:val="20"/>
        </w:rPr>
        <w:t>)</w:t>
      </w:r>
      <w:r>
        <w:rPr>
          <w:rFonts w:hint="eastAsia"/>
          <w:sz w:val="22"/>
          <w:szCs w:val="22"/>
        </w:rPr>
        <w:t xml:space="preserve"> CCK-8 proliferation assay of four independent </w:t>
      </w:r>
      <w:r>
        <w:rPr>
          <w:rFonts w:hint="eastAsia"/>
          <w:i/>
          <w:iCs/>
          <w:sz w:val="22"/>
          <w:szCs w:val="22"/>
        </w:rPr>
        <w:t>Fn1</w:t>
      </w:r>
      <w:r>
        <w:rPr>
          <w:rFonts w:hint="eastAsia"/>
          <w:sz w:val="22"/>
          <w:szCs w:val="22"/>
        </w:rPr>
        <w:t xml:space="preserve">-KO Hepa1-6 cell clones. </w:t>
      </w:r>
      <w:r>
        <w:rPr>
          <w:rFonts w:hint="eastAsia"/>
          <w:sz w:val="22"/>
          <w:szCs w:val="20"/>
        </w:rPr>
        <w:t>(</w:t>
      </w:r>
      <w:r>
        <w:rPr>
          <w:rFonts w:hint="eastAsia"/>
          <w:b/>
          <w:bCs/>
          <w:sz w:val="22"/>
          <w:szCs w:val="20"/>
        </w:rPr>
        <w:t>G, H</w:t>
      </w:r>
      <w:r>
        <w:rPr>
          <w:rFonts w:hint="eastAsia"/>
          <w:sz w:val="22"/>
          <w:szCs w:val="20"/>
        </w:rPr>
        <w:t>)</w:t>
      </w:r>
      <w:r>
        <w:rPr>
          <w:rFonts w:hint="eastAsia"/>
          <w:sz w:val="22"/>
          <w:szCs w:val="22"/>
        </w:rPr>
        <w:t xml:space="preserve"> Representative images of colony formation, migration, and invasion assays. </w:t>
      </w:r>
      <w:r>
        <w:rPr>
          <w:rFonts w:hint="eastAsia"/>
          <w:sz w:val="22"/>
          <w:szCs w:val="20"/>
        </w:rPr>
        <w:t>(</w:t>
      </w:r>
      <w:r>
        <w:rPr>
          <w:rFonts w:hint="eastAsia"/>
          <w:b/>
          <w:bCs/>
          <w:sz w:val="22"/>
          <w:szCs w:val="20"/>
        </w:rPr>
        <w:t>I</w:t>
      </w:r>
      <w:r>
        <w:rPr>
          <w:rFonts w:hint="eastAsia"/>
          <w:sz w:val="22"/>
          <w:szCs w:val="20"/>
        </w:rPr>
        <w:t>)</w:t>
      </w:r>
      <w:r>
        <w:rPr>
          <w:rFonts w:hint="eastAsia"/>
          <w:sz w:val="22"/>
          <w:szCs w:val="22"/>
        </w:rPr>
        <w:t xml:space="preserve"> Quantitative analysis of colony formation ability.(</w:t>
      </w:r>
      <w:r>
        <w:rPr>
          <w:rFonts w:hint="eastAsia"/>
          <w:b/>
          <w:bCs/>
          <w:sz w:val="22"/>
          <w:szCs w:val="22"/>
        </w:rPr>
        <w:t>J</w:t>
      </w:r>
      <w:r>
        <w:rPr>
          <w:rFonts w:hint="eastAsia"/>
          <w:sz w:val="22"/>
          <w:szCs w:val="22"/>
        </w:rPr>
        <w:t>) Quantitative analysis of cell migration and invasion.</w:t>
      </w:r>
      <w:r>
        <w:rPr>
          <w:rFonts w:hint="eastAsia"/>
          <w:sz w:val="22"/>
          <w:szCs w:val="20"/>
        </w:rPr>
        <w:t>(</w:t>
      </w:r>
      <w:r>
        <w:rPr>
          <w:rFonts w:hint="eastAsia"/>
          <w:b/>
          <w:bCs/>
          <w:sz w:val="22"/>
          <w:szCs w:val="20"/>
        </w:rPr>
        <w:t>K</w:t>
      </w:r>
      <w:r>
        <w:rPr>
          <w:rFonts w:hint="eastAsia"/>
          <w:sz w:val="22"/>
          <w:szCs w:val="20"/>
        </w:rPr>
        <w:t>)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16"/>
          <w:lang w:bidi="ar"/>
        </w:rPr>
        <w:t xml:space="preserve">CCK-8 proliferation analysis of WT and </w:t>
      </w:r>
      <w:r>
        <w:rPr>
          <w:rFonts w:hint="eastAsia"/>
          <w:i/>
          <w:iCs/>
          <w:sz w:val="22"/>
          <w:szCs w:val="16"/>
          <w:lang w:bidi="ar"/>
        </w:rPr>
        <w:t>Fn1</w:t>
      </w:r>
      <w:r>
        <w:rPr>
          <w:rFonts w:hint="eastAsia"/>
          <w:sz w:val="22"/>
          <w:szCs w:val="16"/>
          <w:lang w:bidi="ar"/>
        </w:rPr>
        <w:t>-KO Hepa1-6 cells treated with collagen type I or PBS (n=4).</w:t>
      </w:r>
      <w:r>
        <w:rPr>
          <w:rFonts w:hint="eastAsia"/>
          <w:sz w:val="22"/>
          <w:szCs w:val="22"/>
        </w:rPr>
        <w:t xml:space="preserve"> </w:t>
      </w:r>
      <w:r>
        <w:rPr>
          <w:rFonts w:cs="KaiTi" w:hint="eastAsia"/>
          <w:color w:val="000000" w:themeColor="text1"/>
          <w:sz w:val="22"/>
          <w:szCs w:val="20"/>
        </w:rPr>
        <w:t>(</w:t>
      </w:r>
      <w:r>
        <w:rPr>
          <w:rFonts w:cs="KaiTi" w:hint="eastAsia"/>
          <w:b/>
          <w:bCs/>
          <w:color w:val="000000" w:themeColor="text1"/>
          <w:sz w:val="22"/>
          <w:szCs w:val="20"/>
        </w:rPr>
        <w:t>L</w:t>
      </w:r>
      <w:r>
        <w:rPr>
          <w:rFonts w:cs="KaiTi" w:hint="eastAsia"/>
          <w:color w:val="000000" w:themeColor="text1"/>
          <w:sz w:val="22"/>
          <w:szCs w:val="20"/>
        </w:rPr>
        <w:t xml:space="preserve">, </w:t>
      </w:r>
      <w:r>
        <w:rPr>
          <w:rFonts w:cs="KaiTi" w:hint="eastAsia"/>
          <w:b/>
          <w:bCs/>
          <w:color w:val="000000" w:themeColor="text1"/>
          <w:sz w:val="22"/>
          <w:szCs w:val="20"/>
        </w:rPr>
        <w:t>M</w:t>
      </w:r>
      <w:r>
        <w:rPr>
          <w:rFonts w:cs="KaiTi" w:hint="eastAsia"/>
          <w:color w:val="000000" w:themeColor="text1"/>
          <w:sz w:val="22"/>
          <w:szCs w:val="20"/>
        </w:rPr>
        <w:t xml:space="preserve">) Fn1 overexpression in </w:t>
      </w:r>
      <w:r>
        <w:rPr>
          <w:rFonts w:cs="KaiTi" w:hint="eastAsia"/>
          <w:i/>
          <w:iCs/>
          <w:color w:val="000000" w:themeColor="text1"/>
          <w:sz w:val="22"/>
          <w:szCs w:val="20"/>
        </w:rPr>
        <w:t>Fn1</w:t>
      </w:r>
      <w:r>
        <w:rPr>
          <w:rFonts w:cs="KaiTi"/>
          <w:color w:val="000000" w:themeColor="text1"/>
          <w:sz w:val="22"/>
          <w:szCs w:val="20"/>
        </w:rPr>
        <w:t xml:space="preserve">‑knockout Hepa1‑6 cells. </w:t>
      </w:r>
      <w:r>
        <w:rPr>
          <w:rFonts w:cs="KaiTi" w:hint="eastAsia"/>
          <w:color w:val="000000" w:themeColor="text1"/>
          <w:sz w:val="22"/>
          <w:szCs w:val="20"/>
        </w:rPr>
        <w:t>(</w:t>
      </w:r>
      <w:r>
        <w:rPr>
          <w:rFonts w:cs="KaiTi" w:hint="eastAsia"/>
          <w:b/>
          <w:bCs/>
          <w:color w:val="000000" w:themeColor="text1"/>
          <w:sz w:val="22"/>
          <w:szCs w:val="20"/>
        </w:rPr>
        <w:t>L</w:t>
      </w:r>
      <w:r>
        <w:rPr>
          <w:rFonts w:cs="KaiTi" w:hint="eastAsia"/>
          <w:color w:val="000000" w:themeColor="text1"/>
          <w:sz w:val="22"/>
          <w:szCs w:val="20"/>
        </w:rPr>
        <w:t xml:space="preserve">) </w:t>
      </w:r>
      <w:r>
        <w:rPr>
          <w:rFonts w:cs="KaiTi"/>
          <w:color w:val="000000" w:themeColor="text1"/>
          <w:sz w:val="22"/>
          <w:szCs w:val="20"/>
        </w:rPr>
        <w:t xml:space="preserve">Western blot </w:t>
      </w:r>
      <w:r>
        <w:rPr>
          <w:rFonts w:cs="KaiTi" w:hint="eastAsia"/>
          <w:color w:val="000000" w:themeColor="text1"/>
          <w:sz w:val="22"/>
          <w:szCs w:val="20"/>
        </w:rPr>
        <w:t xml:space="preserve">verification of exogenous </w:t>
      </w:r>
      <w:r>
        <w:rPr>
          <w:rFonts w:cs="KaiTi" w:hint="eastAsia"/>
          <w:i/>
          <w:iCs/>
          <w:color w:val="000000" w:themeColor="text1"/>
          <w:sz w:val="22"/>
          <w:szCs w:val="20"/>
        </w:rPr>
        <w:t>Fn1</w:t>
      </w:r>
      <w:r>
        <w:rPr>
          <w:rFonts w:cs="KaiTi" w:hint="eastAsia"/>
          <w:color w:val="000000" w:themeColor="text1"/>
          <w:sz w:val="22"/>
          <w:szCs w:val="20"/>
        </w:rPr>
        <w:t xml:space="preserve"> expression. (</w:t>
      </w:r>
      <w:r>
        <w:rPr>
          <w:rFonts w:cs="KaiTi" w:hint="eastAsia"/>
          <w:b/>
          <w:bCs/>
          <w:color w:val="000000" w:themeColor="text1"/>
          <w:sz w:val="22"/>
          <w:szCs w:val="20"/>
        </w:rPr>
        <w:t>M</w:t>
      </w:r>
      <w:r>
        <w:rPr>
          <w:rFonts w:cs="KaiTi" w:hint="eastAsia"/>
          <w:color w:val="000000" w:themeColor="text1"/>
          <w:sz w:val="22"/>
          <w:szCs w:val="20"/>
        </w:rPr>
        <w:t>) CCK</w:t>
      </w:r>
      <w:r>
        <w:rPr>
          <w:rFonts w:cs="KaiTi"/>
          <w:color w:val="000000" w:themeColor="text1"/>
          <w:sz w:val="22"/>
          <w:szCs w:val="20"/>
        </w:rPr>
        <w:t xml:space="preserve">‑8 proliferation assays in wild‑type (WT) Hepa1‑6 cells, two independent </w:t>
      </w:r>
      <w:r>
        <w:rPr>
          <w:rFonts w:cs="KaiTi"/>
          <w:i/>
          <w:iCs/>
          <w:color w:val="000000" w:themeColor="text1"/>
          <w:sz w:val="22"/>
          <w:szCs w:val="20"/>
        </w:rPr>
        <w:t>Fn1</w:t>
      </w:r>
      <w:r>
        <w:rPr>
          <w:rFonts w:cs="KaiTi"/>
          <w:color w:val="000000" w:themeColor="text1"/>
          <w:sz w:val="22"/>
          <w:szCs w:val="20"/>
        </w:rPr>
        <w:t xml:space="preserve">‑knockout clones (#5 and #13), and their corresponding </w:t>
      </w:r>
      <w:r>
        <w:rPr>
          <w:rFonts w:cs="KaiTi"/>
          <w:i/>
          <w:iCs/>
          <w:color w:val="000000" w:themeColor="text1"/>
          <w:sz w:val="22"/>
          <w:szCs w:val="20"/>
        </w:rPr>
        <w:t>F</w:t>
      </w:r>
      <w:r>
        <w:rPr>
          <w:rFonts w:cs="KaiTi" w:hint="eastAsia"/>
          <w:i/>
          <w:iCs/>
          <w:color w:val="000000" w:themeColor="text1"/>
          <w:sz w:val="22"/>
          <w:szCs w:val="20"/>
        </w:rPr>
        <w:t>n</w:t>
      </w:r>
      <w:r>
        <w:rPr>
          <w:rFonts w:cs="KaiTi"/>
          <w:i/>
          <w:iCs/>
          <w:color w:val="000000" w:themeColor="text1"/>
          <w:sz w:val="22"/>
          <w:szCs w:val="20"/>
        </w:rPr>
        <w:t>1</w:t>
      </w:r>
      <w:r>
        <w:rPr>
          <w:rFonts w:cs="KaiTi"/>
          <w:color w:val="000000" w:themeColor="text1"/>
          <w:sz w:val="22"/>
          <w:szCs w:val="20"/>
        </w:rPr>
        <w:t>‑overexpressing rescue clones (#5</w:t>
      </w:r>
      <w:r>
        <w:rPr>
          <w:rFonts w:cs="KaiTi" w:hint="eastAsia"/>
          <w:color w:val="000000" w:themeColor="text1"/>
          <w:sz w:val="22"/>
          <w:szCs w:val="20"/>
        </w:rPr>
        <w:t xml:space="preserve"> (</w:t>
      </w:r>
      <w:r>
        <w:rPr>
          <w:rFonts w:cs="KaiTi"/>
          <w:i/>
          <w:iCs/>
          <w:color w:val="000000" w:themeColor="text1"/>
          <w:sz w:val="22"/>
          <w:szCs w:val="20"/>
        </w:rPr>
        <w:t>F</w:t>
      </w:r>
      <w:r>
        <w:rPr>
          <w:rFonts w:cs="KaiTi" w:hint="eastAsia"/>
          <w:i/>
          <w:iCs/>
          <w:color w:val="000000" w:themeColor="text1"/>
          <w:sz w:val="22"/>
          <w:szCs w:val="20"/>
        </w:rPr>
        <w:t>n</w:t>
      </w:r>
      <w:r>
        <w:rPr>
          <w:rFonts w:cs="KaiTi"/>
          <w:i/>
          <w:iCs/>
          <w:color w:val="000000" w:themeColor="text1"/>
          <w:sz w:val="22"/>
          <w:szCs w:val="20"/>
        </w:rPr>
        <w:t>1</w:t>
      </w:r>
      <w:r>
        <w:rPr>
          <w:rFonts w:cs="KaiTi"/>
          <w:color w:val="000000" w:themeColor="text1"/>
          <w:sz w:val="22"/>
          <w:szCs w:val="20"/>
        </w:rPr>
        <w:t>‑OE</w:t>
      </w:r>
      <w:r>
        <w:rPr>
          <w:rFonts w:cs="KaiTi" w:hint="eastAsia"/>
          <w:color w:val="000000" w:themeColor="text1"/>
          <w:sz w:val="22"/>
          <w:szCs w:val="20"/>
        </w:rPr>
        <w:t>)</w:t>
      </w:r>
      <w:r>
        <w:rPr>
          <w:rFonts w:cs="KaiTi"/>
          <w:color w:val="000000" w:themeColor="text1"/>
          <w:sz w:val="22"/>
          <w:szCs w:val="20"/>
        </w:rPr>
        <w:t xml:space="preserve"> and #13</w:t>
      </w:r>
      <w:r>
        <w:rPr>
          <w:rFonts w:cs="KaiTi" w:hint="eastAsia"/>
          <w:color w:val="000000" w:themeColor="text1"/>
          <w:sz w:val="22"/>
          <w:szCs w:val="20"/>
        </w:rPr>
        <w:t xml:space="preserve"> (</w:t>
      </w:r>
      <w:r>
        <w:rPr>
          <w:rFonts w:cs="KaiTi"/>
          <w:i/>
          <w:iCs/>
          <w:color w:val="000000" w:themeColor="text1"/>
          <w:sz w:val="22"/>
          <w:szCs w:val="20"/>
        </w:rPr>
        <w:t>F</w:t>
      </w:r>
      <w:r>
        <w:rPr>
          <w:rFonts w:cs="KaiTi" w:hint="eastAsia"/>
          <w:i/>
          <w:iCs/>
          <w:color w:val="000000" w:themeColor="text1"/>
          <w:sz w:val="22"/>
          <w:szCs w:val="20"/>
        </w:rPr>
        <w:t>n</w:t>
      </w:r>
      <w:r>
        <w:rPr>
          <w:rFonts w:cs="KaiTi"/>
          <w:i/>
          <w:iCs/>
          <w:color w:val="000000" w:themeColor="text1"/>
          <w:sz w:val="22"/>
          <w:szCs w:val="20"/>
        </w:rPr>
        <w:t>1</w:t>
      </w:r>
      <w:r>
        <w:rPr>
          <w:rFonts w:cs="KaiTi"/>
          <w:color w:val="000000" w:themeColor="text1"/>
          <w:sz w:val="22"/>
          <w:szCs w:val="20"/>
        </w:rPr>
        <w:t>‑OE</w:t>
      </w:r>
      <w:r>
        <w:rPr>
          <w:rFonts w:cs="KaiTi" w:hint="eastAsia"/>
          <w:color w:val="000000" w:themeColor="text1"/>
          <w:sz w:val="22"/>
          <w:szCs w:val="20"/>
        </w:rPr>
        <w:t xml:space="preserve">) </w:t>
      </w:r>
      <w:r>
        <w:rPr>
          <w:rFonts w:cs="KaiTi"/>
          <w:color w:val="000000" w:themeColor="text1"/>
          <w:sz w:val="22"/>
          <w:szCs w:val="20"/>
        </w:rPr>
        <w:t>)</w:t>
      </w:r>
      <w:r>
        <w:rPr>
          <w:rFonts w:cs="KaiTi" w:hint="eastAsia"/>
          <w:color w:val="000000" w:themeColor="text1"/>
          <w:sz w:val="22"/>
          <w:szCs w:val="20"/>
        </w:rPr>
        <w:t>, OE: over expression</w:t>
      </w:r>
      <w:r>
        <w:rPr>
          <w:rFonts w:cs="KaiTi"/>
          <w:color w:val="000000" w:themeColor="text1"/>
          <w:sz w:val="22"/>
          <w:szCs w:val="20"/>
        </w:rPr>
        <w:t>.</w:t>
      </w:r>
      <w:r>
        <w:rPr>
          <w:rFonts w:hint="eastAsia"/>
          <w:sz w:val="22"/>
          <w:szCs w:val="22"/>
        </w:rPr>
        <w:t xml:space="preserve"> Data are presented as mean </w:t>
      </w:r>
      <w:r>
        <w:rPr>
          <w:sz w:val="22"/>
          <w:szCs w:val="22"/>
        </w:rPr>
        <w:t>±</w:t>
      </w:r>
      <w:r>
        <w:rPr>
          <w:rFonts w:hint="eastAsia"/>
          <w:sz w:val="22"/>
          <w:szCs w:val="22"/>
        </w:rPr>
        <w:t xml:space="preserve"> SD. Statistical significance was determined by two-way ANOVA (</w:t>
      </w:r>
      <w:r>
        <w:rPr>
          <w:rFonts w:hint="eastAsia"/>
          <w:b/>
          <w:bCs/>
          <w:sz w:val="22"/>
          <w:szCs w:val="22"/>
        </w:rPr>
        <w:t>F</w:t>
      </w:r>
      <w:r>
        <w:rPr>
          <w:rFonts w:hint="eastAsia"/>
          <w:sz w:val="22"/>
          <w:szCs w:val="22"/>
        </w:rPr>
        <w:t xml:space="preserve">, </w:t>
      </w:r>
      <w:r>
        <w:rPr>
          <w:rFonts w:hint="eastAsia"/>
          <w:b/>
          <w:bCs/>
          <w:sz w:val="22"/>
          <w:szCs w:val="22"/>
        </w:rPr>
        <w:t>K</w:t>
      </w:r>
      <w:r>
        <w:rPr>
          <w:rFonts w:hint="eastAsia"/>
          <w:sz w:val="22"/>
          <w:szCs w:val="22"/>
        </w:rPr>
        <w:t xml:space="preserve">, </w:t>
      </w:r>
      <w:r>
        <w:rPr>
          <w:rFonts w:hint="eastAsia"/>
          <w:b/>
          <w:bCs/>
          <w:sz w:val="22"/>
          <w:szCs w:val="22"/>
        </w:rPr>
        <w:t>M</w:t>
      </w:r>
      <w:r>
        <w:rPr>
          <w:rFonts w:hint="eastAsia"/>
          <w:sz w:val="22"/>
          <w:szCs w:val="22"/>
        </w:rPr>
        <w:t>) or Student</w:t>
      </w:r>
      <w:r>
        <w:rPr>
          <w:sz w:val="22"/>
          <w:szCs w:val="22"/>
        </w:rPr>
        <w:t>’</w:t>
      </w:r>
      <w:r>
        <w:rPr>
          <w:rFonts w:hint="eastAsia"/>
          <w:sz w:val="22"/>
          <w:szCs w:val="22"/>
        </w:rPr>
        <w:t>s t-test (</w:t>
      </w:r>
      <w:r>
        <w:rPr>
          <w:rFonts w:hint="eastAsia"/>
          <w:b/>
          <w:bCs/>
          <w:sz w:val="22"/>
          <w:szCs w:val="22"/>
        </w:rPr>
        <w:t>I</w:t>
      </w:r>
      <w:r>
        <w:rPr>
          <w:rFonts w:hint="eastAsia"/>
          <w:sz w:val="22"/>
          <w:szCs w:val="22"/>
        </w:rPr>
        <w:t xml:space="preserve">, </w:t>
      </w:r>
      <w:r>
        <w:rPr>
          <w:rFonts w:hint="eastAsia"/>
          <w:b/>
          <w:bCs/>
          <w:sz w:val="22"/>
          <w:szCs w:val="22"/>
        </w:rPr>
        <w:t>J</w:t>
      </w:r>
      <w:r>
        <w:rPr>
          <w:rFonts w:hint="eastAsia"/>
          <w:sz w:val="22"/>
          <w:szCs w:val="22"/>
        </w:rPr>
        <w:t xml:space="preserve">).** </w:t>
      </w:r>
      <w:r>
        <w:rPr>
          <w:rFonts w:hint="eastAsia"/>
          <w:i/>
          <w:iCs/>
          <w:sz w:val="22"/>
          <w:szCs w:val="22"/>
        </w:rPr>
        <w:t>P</w:t>
      </w:r>
      <w:r>
        <w:rPr>
          <w:rFonts w:hint="eastAsia"/>
          <w:sz w:val="22"/>
          <w:szCs w:val="22"/>
        </w:rPr>
        <w:t xml:space="preserve"> &lt; 0.01, *** </w:t>
      </w:r>
      <w:r>
        <w:rPr>
          <w:rFonts w:hint="eastAsia"/>
          <w:i/>
          <w:iCs/>
          <w:sz w:val="22"/>
          <w:szCs w:val="22"/>
        </w:rPr>
        <w:t>P</w:t>
      </w:r>
      <w:r>
        <w:rPr>
          <w:rFonts w:hint="eastAsia"/>
          <w:sz w:val="22"/>
          <w:szCs w:val="22"/>
        </w:rPr>
        <w:t xml:space="preserve"> &lt; 0.001, **** </w:t>
      </w:r>
      <w:r>
        <w:rPr>
          <w:rFonts w:hint="eastAsia"/>
          <w:i/>
          <w:iCs/>
          <w:sz w:val="22"/>
          <w:szCs w:val="22"/>
        </w:rPr>
        <w:t>P</w:t>
      </w:r>
      <w:r>
        <w:rPr>
          <w:rFonts w:hint="eastAsia"/>
          <w:sz w:val="22"/>
          <w:szCs w:val="22"/>
        </w:rPr>
        <w:t xml:space="preserve"> &lt; 0.0001. </w:t>
      </w:r>
    </w:p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iTi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961"/>
    <w:rsid w:val="00223EAF"/>
    <w:rsid w:val="004244E6"/>
    <w:rsid w:val="0067415F"/>
    <w:rsid w:val="008051CF"/>
    <w:rsid w:val="00BA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7E6214-03FA-43A6-BF9B-E905D194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9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9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9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9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9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9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9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9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9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9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9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9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9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9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9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9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9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9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9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9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2026-06-20T22:49:00Z</dcterms:created>
  <dcterms:modified xsi:type="dcterms:W3CDTF">2026-06-20T22:49:00Z</dcterms:modified>
</cp:coreProperties>
</file>