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</w:p>
    <w:p w:rsidR="001C6901" w:rsidRPr="00C67707" w:rsidRDefault="001C6901" w:rsidP="001C690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78502724"/>
      <w:bookmarkStart w:id="1" w:name="OLE_LINK1"/>
      <w:r w:rsidRPr="00C67707">
        <w:rPr>
          <w:rFonts w:ascii="Times New Roman" w:hAnsi="Times New Roman" w:cs="Times New Roman"/>
          <w:b/>
          <w:bCs/>
        </w:rPr>
        <w:t xml:space="preserve">Supplementary Table </w:t>
      </w:r>
      <w:bookmarkEnd w:id="0"/>
      <w:r>
        <w:rPr>
          <w:rFonts w:ascii="Times New Roman" w:hAnsi="Times New Roman" w:cs="Times New Roman" w:hint="eastAsia"/>
          <w:b/>
          <w:bCs/>
        </w:rPr>
        <w:t>10</w:t>
      </w:r>
      <w:r w:rsidRPr="00C67707">
        <w:rPr>
          <w:rFonts w:ascii="Times New Roman" w:hAnsi="Times New Roman" w:cs="Times New Roman"/>
          <w:b/>
          <w:bCs/>
        </w:rPr>
        <w:t>. Comparison of the types of empirical antibiotic regimen between China and global</w:t>
      </w:r>
    </w:p>
    <w:tbl>
      <w:tblPr>
        <w:tblStyle w:val="sanxianbiao"/>
        <w:tblW w:w="10773" w:type="dxa"/>
        <w:jc w:val="center"/>
        <w:tblLook w:val="04A0"/>
      </w:tblPr>
      <w:tblGrid>
        <w:gridCol w:w="5072"/>
        <w:gridCol w:w="2226"/>
        <w:gridCol w:w="2259"/>
        <w:gridCol w:w="1216"/>
      </w:tblGrid>
      <w:tr w:rsidR="001C6901" w:rsidRPr="00C67707" w:rsidTr="000A4217">
        <w:trPr>
          <w:cnfStyle w:val="100000000000"/>
          <w:trHeight w:val="314"/>
          <w:jc w:val="center"/>
        </w:trPr>
        <w:tc>
          <w:tcPr>
            <w:tcW w:w="4138" w:type="dxa"/>
            <w:shd w:val="clear" w:color="auto" w:fill="BFBFBF" w:themeFill="background1" w:themeFillShade="BF"/>
            <w:vAlign w:val="center"/>
          </w:tcPr>
          <w:bookmarkEnd w:id="1"/>
          <w:p w:rsidR="001C6901" w:rsidRPr="00C67707" w:rsidRDefault="001C690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Antibiotic class used, n (%)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China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(n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=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1438</w:t>
            </w:r>
            <w:r w:rsidRPr="00C67707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Global (n = 1302)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 w:rsidRPr="00C67707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§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</w:tr>
      <w:tr w:rsidR="001C6901" w:rsidRPr="00C67707" w:rsidTr="000A4217">
        <w:trPr>
          <w:trHeight w:val="314"/>
          <w:jc w:val="center"/>
        </w:trPr>
        <w:tc>
          <w:tcPr>
            <w:tcW w:w="4138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 xml:space="preserve">Classic β-lactams plus </w:t>
            </w:r>
            <w:bookmarkStart w:id="2" w:name="_Hlk178502575"/>
            <w:r w:rsidRPr="00C67707">
              <w:rPr>
                <w:rFonts w:cs="Times New Roman"/>
                <w:b/>
                <w:sz w:val="22"/>
                <w:szCs w:val="22"/>
              </w:rPr>
              <w:t>β-lactamase inhibitors</w:t>
            </w:r>
            <w:bookmarkEnd w:id="2"/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C67707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1816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79 (5.5)</w:t>
            </w:r>
          </w:p>
        </w:tc>
        <w:tc>
          <w:tcPr>
            <w:tcW w:w="1843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365 (18.0)</w:t>
            </w:r>
          </w:p>
        </w:tc>
        <w:tc>
          <w:tcPr>
            <w:tcW w:w="992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14"/>
          <w:jc w:val="center"/>
        </w:trPr>
        <w:tc>
          <w:tcPr>
            <w:tcW w:w="4138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Specific</w:t>
            </w:r>
            <w:r w:rsidRPr="00C67707">
              <w:rPr>
                <w:rFonts w:cs="Times New Roman"/>
                <w:b/>
                <w:sz w:val="22"/>
                <w:szCs w:val="22"/>
              </w:rPr>
              <w:t xml:space="preserve"> β-lactamase inhibitors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570 (39.6)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288 (14.2)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14"/>
          <w:jc w:val="center"/>
        </w:trPr>
        <w:tc>
          <w:tcPr>
            <w:tcW w:w="4138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Third-generation cephalosporins</w:t>
            </w:r>
          </w:p>
        </w:tc>
        <w:tc>
          <w:tcPr>
            <w:tcW w:w="1816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283 (19.7)</w:t>
            </w:r>
          </w:p>
        </w:tc>
        <w:tc>
          <w:tcPr>
            <w:tcW w:w="1843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523 (25.7)</w:t>
            </w:r>
          </w:p>
        </w:tc>
        <w:tc>
          <w:tcPr>
            <w:tcW w:w="992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21"/>
          <w:jc w:val="center"/>
        </w:trPr>
        <w:tc>
          <w:tcPr>
            <w:tcW w:w="4138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Quinolones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155 (10.8)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180 (8.9)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21"/>
          <w:jc w:val="center"/>
        </w:trPr>
        <w:tc>
          <w:tcPr>
            <w:tcW w:w="4138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Carbapenems</w:t>
            </w:r>
          </w:p>
        </w:tc>
        <w:tc>
          <w:tcPr>
            <w:tcW w:w="1816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253 (17.6)</w:t>
            </w:r>
          </w:p>
        </w:tc>
        <w:tc>
          <w:tcPr>
            <w:tcW w:w="1843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204 (10.0)</w:t>
            </w:r>
          </w:p>
        </w:tc>
        <w:tc>
          <w:tcPr>
            <w:tcW w:w="992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21"/>
          <w:jc w:val="center"/>
        </w:trPr>
        <w:tc>
          <w:tcPr>
            <w:tcW w:w="4138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Glycopeptides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 (0.6)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166 (8.2)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21"/>
          <w:jc w:val="center"/>
        </w:trPr>
        <w:tc>
          <w:tcPr>
            <w:tcW w:w="4138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Linezolid</w:t>
            </w:r>
          </w:p>
        </w:tc>
        <w:tc>
          <w:tcPr>
            <w:tcW w:w="1816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 (0.1)</w:t>
            </w:r>
          </w:p>
        </w:tc>
        <w:tc>
          <w:tcPr>
            <w:tcW w:w="1843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25 (1.2)</w:t>
            </w:r>
          </w:p>
        </w:tc>
        <w:tc>
          <w:tcPr>
            <w:tcW w:w="992" w:type="dxa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  <w:tr w:rsidR="001C6901" w:rsidRPr="00C67707" w:rsidTr="000A4217">
        <w:trPr>
          <w:trHeight w:val="321"/>
          <w:jc w:val="center"/>
        </w:trPr>
        <w:tc>
          <w:tcPr>
            <w:tcW w:w="4138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Others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64 (4.5)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281 (13.8)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6901" w:rsidRPr="00C67707" w:rsidRDefault="001C6901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&lt;0.05</w:t>
            </w:r>
          </w:p>
        </w:tc>
      </w:tr>
    </w:tbl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  <w:highlight w:val="yellow"/>
        </w:rPr>
      </w:pPr>
      <w:r w:rsidRPr="00C67707">
        <w:rPr>
          <w:rFonts w:ascii="Times New Roman" w:hAnsi="Times New Roman" w:cs="Times New Roman"/>
        </w:rPr>
        <w:t>Data were presented as number (percent). Statistical analysis was performed by Chi-Squared test or Fisher exact test.</w:t>
      </w:r>
    </w:p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  <w:bookmarkStart w:id="3" w:name="_Hlk178502586"/>
      <w:r w:rsidRPr="00C67707">
        <w:rPr>
          <w:rFonts w:ascii="Times New Roman" w:hAnsi="Times New Roman" w:cs="Times New Roman"/>
          <w:vertAlign w:val="superscript"/>
        </w:rPr>
        <w:t xml:space="preserve">† </w:t>
      </w:r>
      <w:r w:rsidRPr="00C67707">
        <w:rPr>
          <w:rFonts w:ascii="Times New Roman" w:hAnsi="Times New Roman" w:cs="Times New Roman"/>
        </w:rPr>
        <w:t>Amoxicillin–clavulanic acid or ampicillin–sulbactam</w:t>
      </w:r>
      <w:bookmarkEnd w:id="3"/>
    </w:p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‡</w:t>
      </w:r>
      <w:r w:rsidRPr="00C67707">
        <w:rPr>
          <w:rFonts w:ascii="Times New Roman" w:hAnsi="Times New Roman" w:cs="Times New Roman"/>
        </w:rPr>
        <w:t xml:space="preserve"> Piperacillin-tazobactam and cefoperazone-sulbactam</w:t>
      </w:r>
    </w:p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§</w:t>
      </w:r>
      <w:r w:rsidRPr="00C67707">
        <w:rPr>
          <w:rFonts w:ascii="Times New Roman" w:hAnsi="Times New Roman" w:cs="Times New Roman"/>
        </w:rPr>
        <w:t xml:space="preserve"> Data were extracted from a global study [</w:t>
      </w:r>
      <w:r w:rsidRPr="006D78E3">
        <w:rPr>
          <w:rFonts w:ascii="Times New Roman" w:hAnsi="Times New Roman" w:cs="Times New Roman" w:hint="eastAsia"/>
        </w:rPr>
        <w:t>Piano S, Singh V, Caraceni P, Maiwall R, Alessandria C, Fernandez J, et al. Epidemiology and Effects of Bacterial Infections in Patients With Cirrhosis Worldwide. Gastroenterology 2019;156(5):1368-1380.e1310.</w:t>
      </w:r>
      <w:r w:rsidRPr="00C67707">
        <w:rPr>
          <w:rFonts w:ascii="Times New Roman" w:hAnsi="Times New Roman" w:cs="Times New Roman"/>
        </w:rPr>
        <w:t>].</w:t>
      </w:r>
    </w:p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</w:p>
    <w:p w:rsidR="001C6901" w:rsidRPr="00C67707" w:rsidRDefault="001C6901" w:rsidP="001C6901">
      <w:pPr>
        <w:spacing w:line="480" w:lineRule="auto"/>
        <w:rPr>
          <w:rFonts w:ascii="Times New Roman" w:hAnsi="Times New Roman" w:cs="Times New Roman"/>
        </w:rPr>
      </w:pPr>
    </w:p>
    <w:p w:rsidR="00A90227" w:rsidRDefault="00A90227"/>
    <w:sectPr w:rsidR="00A902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1C6901"/>
    <w:rsid w:val="001C6901"/>
    <w:rsid w:val="00A9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1C6901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2025-06-28T07:27:00Z</dcterms:created>
  <dcterms:modified xsi:type="dcterms:W3CDTF">2025-06-28T07:27:00Z</dcterms:modified>
</cp:coreProperties>
</file>