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4E" w:rsidRDefault="0084754E" w:rsidP="0084754E">
      <w:pPr>
        <w:spacing w:line="480" w:lineRule="auto"/>
        <w:rPr>
          <w:rFonts w:ascii="Times New Roman" w:hAnsi="Times New Roman" w:cs="Times New Roman"/>
        </w:rPr>
      </w:pPr>
    </w:p>
    <w:p w:rsidR="0084754E" w:rsidRPr="00B91A88" w:rsidRDefault="0084754E" w:rsidP="0084754E">
      <w:pPr>
        <w:spacing w:line="480" w:lineRule="auto"/>
        <w:rPr>
          <w:rFonts w:ascii="Times New Roman" w:hAnsi="Times New Roman" w:cs="Times New Roman"/>
        </w:rPr>
      </w:pPr>
    </w:p>
    <w:p w:rsidR="0084754E" w:rsidRPr="00946CD4" w:rsidRDefault="0084754E" w:rsidP="0084754E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 xml:space="preserve">Supplementary </w:t>
      </w:r>
      <w:r w:rsidRPr="00946CD4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</w:rPr>
        <w:t>7.</w:t>
      </w:r>
      <w:r w:rsidRPr="00946CD4">
        <w:rPr>
          <w:rFonts w:ascii="Times New Roman" w:hAnsi="Times New Roman" w:cs="Times New Roman"/>
          <w:b/>
          <w:bCs/>
        </w:rPr>
        <w:t xml:space="preserve"> </w:t>
      </w:r>
      <w:r w:rsidRPr="00247029">
        <w:rPr>
          <w:rFonts w:ascii="Times New Roman" w:hAnsi="Times New Roman" w:cs="Times New Roman" w:hint="eastAsia"/>
          <w:b/>
          <w:bCs/>
        </w:rPr>
        <w:t>Comparison of the</w:t>
      </w:r>
      <w:r w:rsidRPr="000A43B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 w:hint="eastAsia"/>
          <w:b/>
          <w:bCs/>
        </w:rPr>
        <w:t>c</w:t>
      </w:r>
      <w:r w:rsidRPr="00946CD4">
        <w:rPr>
          <w:rFonts w:ascii="Times New Roman" w:hAnsi="Times New Roman" w:cs="Times New Roman"/>
          <w:b/>
          <w:bCs/>
        </w:rPr>
        <w:t>linical and microbiological</w:t>
      </w:r>
      <w:r>
        <w:rPr>
          <w:rFonts w:ascii="Times New Roman" w:hAnsi="Times New Roman" w:cs="Times New Roman" w:hint="eastAsia"/>
          <w:b/>
          <w:bCs/>
        </w:rPr>
        <w:t xml:space="preserve"> </w:t>
      </w:r>
      <w:r w:rsidRPr="00247029">
        <w:rPr>
          <w:rFonts w:ascii="Times New Roman" w:hAnsi="Times New Roman" w:cs="Times New Roman" w:hint="eastAsia"/>
          <w:b/>
          <w:bCs/>
        </w:rPr>
        <w:t xml:space="preserve">characteristics of </w:t>
      </w:r>
      <w:r>
        <w:rPr>
          <w:rFonts w:ascii="Times New Roman" w:hAnsi="Times New Roman" w:cs="Times New Roman" w:hint="eastAsia"/>
          <w:b/>
          <w:bCs/>
        </w:rPr>
        <w:t xml:space="preserve">first </w:t>
      </w:r>
      <w:r w:rsidRPr="00247029">
        <w:rPr>
          <w:rFonts w:ascii="Times New Roman" w:hAnsi="Times New Roman" w:cs="Times New Roman" w:hint="eastAsia"/>
          <w:b/>
          <w:bCs/>
        </w:rPr>
        <w:t xml:space="preserve">infections between </w:t>
      </w:r>
      <w:r>
        <w:rPr>
          <w:rFonts w:ascii="Times New Roman" w:hAnsi="Times New Roman" w:cs="Times New Roman" w:hint="eastAsia"/>
          <w:b/>
          <w:bCs/>
        </w:rPr>
        <w:t>positive and negative cultures</w:t>
      </w:r>
    </w:p>
    <w:tbl>
      <w:tblPr>
        <w:tblStyle w:val="sanxianbiao"/>
        <w:tblW w:w="10773" w:type="dxa"/>
        <w:jc w:val="center"/>
        <w:tblLook w:val="04A0"/>
      </w:tblPr>
      <w:tblGrid>
        <w:gridCol w:w="3248"/>
        <w:gridCol w:w="3250"/>
        <w:gridCol w:w="2907"/>
        <w:gridCol w:w="1368"/>
      </w:tblGrid>
      <w:tr w:rsidR="0084754E" w:rsidRPr="00946CD4" w:rsidTr="000A4217">
        <w:trPr>
          <w:cnfStyle w:val="100000000000"/>
          <w:trHeight w:val="287"/>
          <w:jc w:val="center"/>
        </w:trPr>
        <w:tc>
          <w:tcPr>
            <w:tcW w:w="3248" w:type="dxa"/>
            <w:shd w:val="clear" w:color="auto" w:fill="BFBFBF" w:themeFill="background1" w:themeFillShade="BF"/>
          </w:tcPr>
          <w:p w:rsidR="0084754E" w:rsidRPr="00946CD4" w:rsidRDefault="0084754E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946CD4">
              <w:rPr>
                <w:rFonts w:eastAsiaTheme="minorEastAsia" w:cs="Times New Roman" w:hint="eastAsia"/>
                <w:b/>
                <w:bCs/>
                <w:sz w:val="22"/>
                <w:szCs w:val="22"/>
              </w:rPr>
              <w:t>Characteristics</w:t>
            </w:r>
          </w:p>
        </w:tc>
        <w:tc>
          <w:tcPr>
            <w:tcW w:w="3250" w:type="dxa"/>
            <w:shd w:val="clear" w:color="auto" w:fill="BFBFBF" w:themeFill="background1" w:themeFillShade="BF"/>
          </w:tcPr>
          <w:p w:rsidR="0084754E" w:rsidRPr="00946CD4" w:rsidRDefault="0084754E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946CD4">
              <w:rPr>
                <w:rFonts w:cs="Times New Roman" w:hint="eastAsia"/>
                <w:b/>
                <w:bCs/>
                <w:sz w:val="22"/>
                <w:szCs w:val="22"/>
              </w:rPr>
              <w:t>positiv</w:t>
            </w:r>
            <w:r w:rsidRPr="00552468">
              <w:rPr>
                <w:rFonts w:cs="Times New Roman" w:hint="eastAsia"/>
                <w:b/>
                <w:bCs/>
                <w:sz w:val="22"/>
                <w:szCs w:val="22"/>
              </w:rPr>
              <w:t>e (n=</w:t>
            </w:r>
            <w:r w:rsidRPr="00552468">
              <w:rPr>
                <w:rFonts w:eastAsiaTheme="minorEastAsia" w:cs="Times New Roman" w:hint="eastAsia"/>
                <w:b/>
                <w:bCs/>
                <w:sz w:val="22"/>
                <w:szCs w:val="22"/>
              </w:rPr>
              <w:t>620</w:t>
            </w:r>
            <w:r w:rsidRPr="00552468">
              <w:rPr>
                <w:rFonts w:cs="Times New Roman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907" w:type="dxa"/>
            <w:shd w:val="clear" w:color="auto" w:fill="BFBFBF" w:themeFill="background1" w:themeFillShade="BF"/>
          </w:tcPr>
          <w:p w:rsidR="0084754E" w:rsidRPr="00A22F6F" w:rsidRDefault="0084754E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946CD4">
              <w:rPr>
                <w:rFonts w:eastAsiaTheme="minorEastAsia" w:cs="Times New Roman"/>
                <w:b/>
                <w:bCs/>
                <w:sz w:val="22"/>
                <w:szCs w:val="22"/>
              </w:rPr>
              <w:t>negative</w:t>
            </w:r>
            <w:r w:rsidRPr="00552468">
              <w:rPr>
                <w:rFonts w:cs="Times New Roman" w:hint="eastAsia"/>
                <w:b/>
                <w:sz w:val="22"/>
                <w:szCs w:val="22"/>
              </w:rPr>
              <w:t xml:space="preserve"> (n=</w:t>
            </w:r>
            <w:r w:rsidRPr="00552468">
              <w:rPr>
                <w:rFonts w:eastAsiaTheme="minorEastAsia" w:cs="Times New Roman" w:hint="eastAsia"/>
                <w:b/>
                <w:sz w:val="22"/>
                <w:szCs w:val="22"/>
              </w:rPr>
              <w:t>568</w:t>
            </w:r>
            <w:r w:rsidRPr="00552468">
              <w:rPr>
                <w:rFonts w:cs="Times New Roman" w:hint="eastAsia"/>
                <w:b/>
                <w:sz w:val="22"/>
                <w:szCs w:val="22"/>
              </w:rPr>
              <w:t>)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:rsidR="0084754E" w:rsidRPr="00946CD4" w:rsidRDefault="0084754E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946CD4">
              <w:rPr>
                <w:rFonts w:cs="Times New Roman" w:hint="eastAsia"/>
                <w:b/>
                <w:bCs/>
                <w:i/>
                <w:sz w:val="22"/>
                <w:szCs w:val="22"/>
              </w:rPr>
              <w:t>P</w:t>
            </w:r>
            <w:r w:rsidRPr="00946CD4">
              <w:rPr>
                <w:rFonts w:cs="Times New Roman" w:hint="eastAsia"/>
                <w:b/>
                <w:bCs/>
                <w:sz w:val="22"/>
                <w:szCs w:val="22"/>
              </w:rPr>
              <w:t xml:space="preserve"> </w:t>
            </w:r>
            <w:r w:rsidRPr="00946CD4">
              <w:rPr>
                <w:rFonts w:cs="Times New Roman" w:hint="eastAsia"/>
                <w:b/>
                <w:bCs/>
                <w:i/>
                <w:iCs/>
                <w:sz w:val="22"/>
                <w:szCs w:val="22"/>
              </w:rPr>
              <w:t>value</w:t>
            </w:r>
          </w:p>
        </w:tc>
      </w:tr>
      <w:tr w:rsidR="0084754E" w:rsidRPr="00946CD4" w:rsidTr="000A4217">
        <w:trPr>
          <w:trHeight w:val="293"/>
          <w:jc w:val="center"/>
        </w:trPr>
        <w:tc>
          <w:tcPr>
            <w:tcW w:w="9405" w:type="dxa"/>
            <w:gridSpan w:val="3"/>
          </w:tcPr>
          <w:p w:rsidR="0084754E" w:rsidRPr="002214F8" w:rsidRDefault="0084754E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2214F8">
              <w:rPr>
                <w:rFonts w:cs="Times New Roman"/>
                <w:b/>
                <w:sz w:val="22"/>
                <w:szCs w:val="22"/>
              </w:rPr>
              <w:t>T</w:t>
            </w:r>
            <w:r w:rsidRPr="002214F8">
              <w:rPr>
                <w:rFonts w:cs="Times New Roman" w:hint="eastAsia"/>
                <w:b/>
                <w:sz w:val="22"/>
                <w:szCs w:val="22"/>
              </w:rPr>
              <w:t xml:space="preserve">ype of </w:t>
            </w:r>
            <w:r w:rsidRPr="002214F8">
              <w:rPr>
                <w:rFonts w:cs="Times New Roman"/>
                <w:b/>
                <w:sz w:val="22"/>
                <w:szCs w:val="22"/>
              </w:rPr>
              <w:t>infection, n (%)</w:t>
            </w:r>
          </w:p>
        </w:tc>
        <w:tc>
          <w:tcPr>
            <w:tcW w:w="1368" w:type="dxa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0.018</w:t>
            </w:r>
          </w:p>
        </w:tc>
      </w:tr>
      <w:tr w:rsidR="0084754E" w:rsidRPr="00946CD4" w:rsidTr="000A4217">
        <w:trPr>
          <w:trHeight w:val="287"/>
          <w:jc w:val="center"/>
        </w:trPr>
        <w:tc>
          <w:tcPr>
            <w:tcW w:w="3248" w:type="dxa"/>
          </w:tcPr>
          <w:p w:rsidR="0084754E" w:rsidRPr="00946CD4" w:rsidRDefault="0084754E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946CD4">
              <w:rPr>
                <w:rFonts w:cs="Times New Roman"/>
                <w:bCs/>
                <w:sz w:val="22"/>
                <w:szCs w:val="22"/>
              </w:rPr>
              <w:t>C</w:t>
            </w:r>
            <w:r w:rsidRPr="00946CD4">
              <w:rPr>
                <w:rFonts w:cs="Times New Roman" w:hint="eastAsia"/>
                <w:bCs/>
                <w:sz w:val="22"/>
                <w:szCs w:val="22"/>
              </w:rPr>
              <w:t>ommunity acquired</w:t>
            </w:r>
          </w:p>
        </w:tc>
        <w:tc>
          <w:tcPr>
            <w:tcW w:w="3250" w:type="dxa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517 (83.4)</w:t>
            </w:r>
          </w:p>
        </w:tc>
        <w:tc>
          <w:tcPr>
            <w:tcW w:w="2907" w:type="dxa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501 (88.2)</w:t>
            </w:r>
          </w:p>
        </w:tc>
        <w:tc>
          <w:tcPr>
            <w:tcW w:w="1368" w:type="dxa"/>
          </w:tcPr>
          <w:p w:rsidR="0084754E" w:rsidRPr="00946CD4" w:rsidRDefault="0084754E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84754E" w:rsidRPr="00946CD4" w:rsidTr="000A4217">
        <w:trPr>
          <w:trHeight w:val="293"/>
          <w:jc w:val="center"/>
        </w:trPr>
        <w:tc>
          <w:tcPr>
            <w:tcW w:w="3248" w:type="dxa"/>
          </w:tcPr>
          <w:p w:rsidR="0084754E" w:rsidRPr="00946CD4" w:rsidRDefault="0084754E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946CD4">
              <w:rPr>
                <w:rFonts w:cs="Times New Roman" w:hint="eastAsia"/>
                <w:bCs/>
                <w:sz w:val="22"/>
                <w:szCs w:val="22"/>
              </w:rPr>
              <w:t>Nosocomial</w:t>
            </w:r>
          </w:p>
        </w:tc>
        <w:tc>
          <w:tcPr>
            <w:tcW w:w="3250" w:type="dxa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103 (16.6)</w:t>
            </w:r>
          </w:p>
        </w:tc>
        <w:tc>
          <w:tcPr>
            <w:tcW w:w="2907" w:type="dxa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67 (11.8)</w:t>
            </w:r>
          </w:p>
        </w:tc>
        <w:tc>
          <w:tcPr>
            <w:tcW w:w="1368" w:type="dxa"/>
          </w:tcPr>
          <w:p w:rsidR="0084754E" w:rsidRPr="00946CD4" w:rsidRDefault="0084754E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84754E" w:rsidRPr="00946CD4" w:rsidTr="000A4217">
        <w:trPr>
          <w:trHeight w:val="287"/>
          <w:jc w:val="center"/>
        </w:trPr>
        <w:tc>
          <w:tcPr>
            <w:tcW w:w="10773" w:type="dxa"/>
            <w:gridSpan w:val="4"/>
            <w:shd w:val="clear" w:color="auto" w:fill="D9D9D9" w:themeFill="background1" w:themeFillShade="D9"/>
          </w:tcPr>
          <w:p w:rsidR="0084754E" w:rsidRPr="002214F8" w:rsidRDefault="0084754E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2214F8">
              <w:rPr>
                <w:rFonts w:eastAsiaTheme="minorEastAsia" w:cs="Times New Roman" w:hint="eastAsia"/>
                <w:b/>
                <w:sz w:val="22"/>
                <w:szCs w:val="22"/>
              </w:rPr>
              <w:t>Severity</w:t>
            </w:r>
            <w:r w:rsidRPr="002214F8">
              <w:rPr>
                <w:rFonts w:cs="Times New Roman" w:hint="eastAsia"/>
                <w:b/>
                <w:sz w:val="22"/>
                <w:szCs w:val="22"/>
              </w:rPr>
              <w:t xml:space="preserve"> of infection</w:t>
            </w:r>
            <w:r w:rsidRPr="002214F8">
              <w:rPr>
                <w:rFonts w:cs="Times New Roman"/>
                <w:b/>
                <w:sz w:val="22"/>
                <w:szCs w:val="22"/>
              </w:rPr>
              <w:t>, n (%)</w:t>
            </w:r>
          </w:p>
        </w:tc>
      </w:tr>
      <w:tr w:rsidR="0084754E" w:rsidRPr="00946CD4" w:rsidTr="000A4217">
        <w:trPr>
          <w:trHeight w:val="287"/>
          <w:jc w:val="center"/>
        </w:trPr>
        <w:tc>
          <w:tcPr>
            <w:tcW w:w="3248" w:type="dxa"/>
            <w:shd w:val="clear" w:color="auto" w:fill="D9D9D9" w:themeFill="background1" w:themeFillShade="D9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946CD4">
              <w:rPr>
                <w:rFonts w:cs="Times New Roman" w:hint="eastAsia"/>
                <w:bCs/>
                <w:sz w:val="22"/>
                <w:szCs w:val="22"/>
              </w:rPr>
              <w:t>SIRS</w:t>
            </w:r>
          </w:p>
        </w:tc>
        <w:tc>
          <w:tcPr>
            <w:tcW w:w="3250" w:type="dxa"/>
            <w:shd w:val="clear" w:color="auto" w:fill="D9D9D9" w:themeFill="background1" w:themeFillShade="D9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362 (58.4)</w:t>
            </w:r>
          </w:p>
        </w:tc>
        <w:tc>
          <w:tcPr>
            <w:tcW w:w="2907" w:type="dxa"/>
            <w:shd w:val="clear" w:color="auto" w:fill="D9D9D9" w:themeFill="background1" w:themeFillShade="D9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313 (55.1)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0.254</w:t>
            </w:r>
          </w:p>
        </w:tc>
      </w:tr>
      <w:tr w:rsidR="0084754E" w:rsidRPr="00946CD4" w:rsidTr="000A4217">
        <w:trPr>
          <w:trHeight w:val="287"/>
          <w:jc w:val="center"/>
        </w:trPr>
        <w:tc>
          <w:tcPr>
            <w:tcW w:w="3248" w:type="dxa"/>
            <w:shd w:val="clear" w:color="auto" w:fill="D9D9D9" w:themeFill="background1" w:themeFillShade="D9"/>
          </w:tcPr>
          <w:p w:rsidR="0084754E" w:rsidRPr="00946CD4" w:rsidRDefault="0084754E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946CD4">
              <w:rPr>
                <w:rFonts w:cs="Times New Roman" w:hint="eastAsia"/>
                <w:bCs/>
                <w:sz w:val="22"/>
                <w:szCs w:val="22"/>
              </w:rPr>
              <w:t>qSOFA</w:t>
            </w:r>
          </w:p>
        </w:tc>
        <w:tc>
          <w:tcPr>
            <w:tcW w:w="3250" w:type="dxa"/>
            <w:shd w:val="clear" w:color="auto" w:fill="D9D9D9" w:themeFill="background1" w:themeFillShade="D9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54 (8.7)</w:t>
            </w:r>
          </w:p>
        </w:tc>
        <w:tc>
          <w:tcPr>
            <w:tcW w:w="2907" w:type="dxa"/>
            <w:shd w:val="clear" w:color="auto" w:fill="D9D9D9" w:themeFill="background1" w:themeFillShade="D9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36 (6.3)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84754E" w:rsidRPr="000B664C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0B664C">
              <w:rPr>
                <w:rFonts w:eastAsiaTheme="minorEastAsia" w:cs="Times New Roman" w:hint="eastAsia"/>
                <w:sz w:val="22"/>
                <w:szCs w:val="22"/>
              </w:rPr>
              <w:t>0.119</w:t>
            </w:r>
          </w:p>
        </w:tc>
      </w:tr>
      <w:tr w:rsidR="0084754E" w:rsidRPr="00946CD4" w:rsidTr="000A4217">
        <w:trPr>
          <w:trHeight w:val="287"/>
          <w:jc w:val="center"/>
        </w:trPr>
        <w:tc>
          <w:tcPr>
            <w:tcW w:w="3248" w:type="dxa"/>
            <w:shd w:val="clear" w:color="auto" w:fill="D9D9D9" w:themeFill="background1" w:themeFillShade="D9"/>
          </w:tcPr>
          <w:p w:rsidR="0084754E" w:rsidRPr="00946CD4" w:rsidRDefault="0084754E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946CD4">
              <w:rPr>
                <w:rFonts w:cs="Times New Roman" w:hint="eastAsia"/>
                <w:bCs/>
                <w:sz w:val="22"/>
                <w:szCs w:val="22"/>
              </w:rPr>
              <w:t>Septic shock</w:t>
            </w:r>
          </w:p>
        </w:tc>
        <w:tc>
          <w:tcPr>
            <w:tcW w:w="3250" w:type="dxa"/>
            <w:shd w:val="clear" w:color="auto" w:fill="D9D9D9" w:themeFill="background1" w:themeFillShade="D9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75 (12.1)</w:t>
            </w:r>
          </w:p>
        </w:tc>
        <w:tc>
          <w:tcPr>
            <w:tcW w:w="2907" w:type="dxa"/>
            <w:shd w:val="clear" w:color="auto" w:fill="D9D9D9" w:themeFill="background1" w:themeFillShade="D9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29 (5.1)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  <w:highlight w:val="yellow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&lt; 0.001</w:t>
            </w:r>
          </w:p>
        </w:tc>
      </w:tr>
      <w:tr w:rsidR="0084754E" w:rsidRPr="00946CD4" w:rsidTr="000A4217">
        <w:trPr>
          <w:trHeight w:val="287"/>
          <w:jc w:val="center"/>
        </w:trPr>
        <w:tc>
          <w:tcPr>
            <w:tcW w:w="9405" w:type="dxa"/>
            <w:gridSpan w:val="3"/>
          </w:tcPr>
          <w:p w:rsidR="0084754E" w:rsidRPr="002214F8" w:rsidRDefault="0084754E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2214F8">
              <w:rPr>
                <w:rFonts w:cs="Times New Roman"/>
                <w:b/>
                <w:sz w:val="22"/>
                <w:szCs w:val="22"/>
              </w:rPr>
              <w:t>T</w:t>
            </w:r>
            <w:r w:rsidRPr="002214F8">
              <w:rPr>
                <w:rFonts w:cs="Times New Roman" w:hint="eastAsia"/>
                <w:b/>
                <w:sz w:val="22"/>
                <w:szCs w:val="22"/>
              </w:rPr>
              <w:t xml:space="preserve">ype of </w:t>
            </w:r>
            <w:r w:rsidRPr="002214F8">
              <w:rPr>
                <w:rFonts w:cs="Times New Roman"/>
                <w:b/>
                <w:sz w:val="22"/>
                <w:szCs w:val="22"/>
              </w:rPr>
              <w:t>empirical</w:t>
            </w:r>
            <w:r w:rsidRPr="002214F8">
              <w:rPr>
                <w:rFonts w:cs="Times New Roman" w:hint="eastAsia"/>
                <w:b/>
                <w:sz w:val="22"/>
                <w:szCs w:val="22"/>
              </w:rPr>
              <w:t xml:space="preserve"> antibiotic strategies</w:t>
            </w:r>
            <w:r w:rsidRPr="002214F8">
              <w:rPr>
                <w:rFonts w:eastAsiaTheme="minorEastAsia" w:cs="Times New Roman" w:hint="eastAsia"/>
                <w:b/>
                <w:sz w:val="22"/>
                <w:szCs w:val="22"/>
              </w:rPr>
              <w:t>*</w:t>
            </w:r>
            <w:r w:rsidRPr="002214F8">
              <w:rPr>
                <w:rFonts w:cs="Times New Roman"/>
                <w:b/>
                <w:sz w:val="22"/>
                <w:szCs w:val="22"/>
              </w:rPr>
              <w:t>, n (%)</w:t>
            </w:r>
          </w:p>
        </w:tc>
        <w:tc>
          <w:tcPr>
            <w:tcW w:w="1368" w:type="dxa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0.689</w:t>
            </w:r>
          </w:p>
        </w:tc>
      </w:tr>
      <w:tr w:rsidR="0084754E" w:rsidRPr="00946CD4" w:rsidTr="000A4217">
        <w:trPr>
          <w:trHeight w:val="287"/>
          <w:jc w:val="center"/>
        </w:trPr>
        <w:tc>
          <w:tcPr>
            <w:tcW w:w="3248" w:type="dxa"/>
          </w:tcPr>
          <w:p w:rsidR="0084754E" w:rsidRPr="00946CD4" w:rsidRDefault="0084754E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946CD4">
              <w:rPr>
                <w:rFonts w:cs="Times New Roman" w:hint="eastAsia"/>
                <w:bCs/>
                <w:sz w:val="22"/>
                <w:szCs w:val="22"/>
              </w:rPr>
              <w:t>Classical</w:t>
            </w:r>
          </w:p>
        </w:tc>
        <w:tc>
          <w:tcPr>
            <w:tcW w:w="3250" w:type="dxa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188 (30.7)</w:t>
            </w:r>
          </w:p>
        </w:tc>
        <w:tc>
          <w:tcPr>
            <w:tcW w:w="2907" w:type="dxa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180 (31.8)</w:t>
            </w:r>
          </w:p>
        </w:tc>
        <w:tc>
          <w:tcPr>
            <w:tcW w:w="1368" w:type="dxa"/>
          </w:tcPr>
          <w:p w:rsidR="0084754E" w:rsidRPr="00946CD4" w:rsidRDefault="0084754E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84754E" w:rsidRPr="00946CD4" w:rsidTr="000A4217">
        <w:trPr>
          <w:trHeight w:val="293"/>
          <w:jc w:val="center"/>
        </w:trPr>
        <w:tc>
          <w:tcPr>
            <w:tcW w:w="3248" w:type="dxa"/>
          </w:tcPr>
          <w:p w:rsidR="0084754E" w:rsidRPr="00946CD4" w:rsidRDefault="0084754E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946CD4">
              <w:rPr>
                <w:rFonts w:cs="Times New Roman" w:hint="eastAsia"/>
                <w:bCs/>
                <w:sz w:val="22"/>
                <w:szCs w:val="22"/>
              </w:rPr>
              <w:t>MDR coverage</w:t>
            </w:r>
          </w:p>
        </w:tc>
        <w:tc>
          <w:tcPr>
            <w:tcW w:w="3250" w:type="dxa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424 (69.3)</w:t>
            </w:r>
          </w:p>
        </w:tc>
        <w:tc>
          <w:tcPr>
            <w:tcW w:w="2907" w:type="dxa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386 (68.2)</w:t>
            </w:r>
          </w:p>
        </w:tc>
        <w:tc>
          <w:tcPr>
            <w:tcW w:w="1368" w:type="dxa"/>
          </w:tcPr>
          <w:p w:rsidR="0084754E" w:rsidRPr="00946CD4" w:rsidRDefault="0084754E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84754E" w:rsidRPr="00946CD4" w:rsidTr="000A4217">
        <w:trPr>
          <w:trHeight w:val="287"/>
          <w:jc w:val="center"/>
        </w:trPr>
        <w:tc>
          <w:tcPr>
            <w:tcW w:w="10773" w:type="dxa"/>
            <w:gridSpan w:val="4"/>
            <w:shd w:val="clear" w:color="auto" w:fill="D9D9D9" w:themeFill="background1" w:themeFillShade="D9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2214F8">
              <w:rPr>
                <w:rFonts w:cs="Times New Roman"/>
                <w:b/>
                <w:sz w:val="22"/>
                <w:szCs w:val="22"/>
              </w:rPr>
              <w:t>C</w:t>
            </w:r>
            <w:r w:rsidRPr="002214F8">
              <w:rPr>
                <w:rFonts w:cs="Times New Roman" w:hint="eastAsia"/>
                <w:b/>
                <w:sz w:val="22"/>
                <w:szCs w:val="22"/>
              </w:rPr>
              <w:t>hange of antibiotic treatment</w:t>
            </w:r>
            <w:r w:rsidRPr="002214F8">
              <w:rPr>
                <w:rFonts w:cs="Times New Roman"/>
                <w:b/>
                <w:sz w:val="22"/>
                <w:szCs w:val="22"/>
              </w:rPr>
              <w:t>, n (%)</w:t>
            </w:r>
          </w:p>
        </w:tc>
      </w:tr>
      <w:tr w:rsidR="0084754E" w:rsidRPr="00946CD4" w:rsidTr="000A4217">
        <w:trPr>
          <w:trHeight w:val="287"/>
          <w:jc w:val="center"/>
        </w:trPr>
        <w:tc>
          <w:tcPr>
            <w:tcW w:w="3248" w:type="dxa"/>
            <w:shd w:val="clear" w:color="auto" w:fill="D9D9D9" w:themeFill="background1" w:themeFillShade="D9"/>
          </w:tcPr>
          <w:p w:rsidR="0084754E" w:rsidRPr="00946CD4" w:rsidRDefault="0084754E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946CD4">
              <w:rPr>
                <w:rFonts w:cs="Times New Roman"/>
                <w:bCs/>
                <w:sz w:val="22"/>
                <w:szCs w:val="22"/>
              </w:rPr>
              <w:t>E</w:t>
            </w:r>
            <w:r w:rsidRPr="00946CD4">
              <w:rPr>
                <w:rFonts w:cs="Times New Roman" w:hint="eastAsia"/>
                <w:bCs/>
                <w:sz w:val="22"/>
                <w:szCs w:val="22"/>
              </w:rPr>
              <w:t>scalation</w:t>
            </w:r>
          </w:p>
        </w:tc>
        <w:tc>
          <w:tcPr>
            <w:tcW w:w="3250" w:type="dxa"/>
            <w:shd w:val="clear" w:color="auto" w:fill="D9D9D9" w:themeFill="background1" w:themeFillShade="D9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238 (38.8)</w:t>
            </w:r>
          </w:p>
        </w:tc>
        <w:tc>
          <w:tcPr>
            <w:tcW w:w="2907" w:type="dxa"/>
            <w:shd w:val="clear" w:color="auto" w:fill="D9D9D9" w:themeFill="background1" w:themeFillShade="D9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146 (25.8)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84754E" w:rsidRPr="00645FA3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&lt; 0.05</w:t>
            </w:r>
          </w:p>
        </w:tc>
      </w:tr>
      <w:tr w:rsidR="0084754E" w:rsidRPr="00946CD4" w:rsidTr="000A4217">
        <w:trPr>
          <w:trHeight w:val="293"/>
          <w:jc w:val="center"/>
        </w:trPr>
        <w:tc>
          <w:tcPr>
            <w:tcW w:w="3248" w:type="dxa"/>
            <w:shd w:val="clear" w:color="auto" w:fill="D9D9D9" w:themeFill="background1" w:themeFillShade="D9"/>
          </w:tcPr>
          <w:p w:rsidR="0084754E" w:rsidRPr="00946CD4" w:rsidRDefault="0084754E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946CD4">
              <w:rPr>
                <w:rFonts w:cs="Times New Roman"/>
                <w:bCs/>
                <w:sz w:val="22"/>
                <w:szCs w:val="22"/>
              </w:rPr>
              <w:t>D</w:t>
            </w:r>
            <w:r w:rsidRPr="00946CD4">
              <w:rPr>
                <w:rFonts w:cs="Times New Roman" w:hint="eastAsia"/>
                <w:bCs/>
                <w:sz w:val="22"/>
                <w:szCs w:val="22"/>
              </w:rPr>
              <w:t>e-escalation</w:t>
            </w:r>
          </w:p>
        </w:tc>
        <w:tc>
          <w:tcPr>
            <w:tcW w:w="3250" w:type="dxa"/>
            <w:shd w:val="clear" w:color="auto" w:fill="D9D9D9" w:themeFill="background1" w:themeFillShade="D9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57 (9.3)</w:t>
            </w:r>
          </w:p>
        </w:tc>
        <w:tc>
          <w:tcPr>
            <w:tcW w:w="2907" w:type="dxa"/>
            <w:shd w:val="clear" w:color="auto" w:fill="D9D9D9" w:themeFill="background1" w:themeFillShade="D9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49 (8.7)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84754E" w:rsidRPr="00645FA3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&gt; 0.05</w:t>
            </w:r>
          </w:p>
        </w:tc>
      </w:tr>
      <w:tr w:rsidR="0084754E" w:rsidRPr="00946CD4" w:rsidTr="000A4217">
        <w:trPr>
          <w:trHeight w:val="287"/>
          <w:jc w:val="center"/>
        </w:trPr>
        <w:tc>
          <w:tcPr>
            <w:tcW w:w="3248" w:type="dxa"/>
            <w:shd w:val="clear" w:color="auto" w:fill="D9D9D9" w:themeFill="background1" w:themeFillShade="D9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946CD4">
              <w:rPr>
                <w:rFonts w:cs="Times New Roman"/>
                <w:bCs/>
                <w:sz w:val="22"/>
                <w:szCs w:val="22"/>
              </w:rPr>
              <w:t>N</w:t>
            </w:r>
            <w:r w:rsidRPr="00946CD4">
              <w:rPr>
                <w:rFonts w:cs="Times New Roman" w:hint="eastAsia"/>
                <w:bCs/>
                <w:sz w:val="22"/>
                <w:szCs w:val="22"/>
              </w:rPr>
              <w:t>o change</w:t>
            </w:r>
          </w:p>
        </w:tc>
        <w:tc>
          <w:tcPr>
            <w:tcW w:w="3250" w:type="dxa"/>
            <w:shd w:val="clear" w:color="auto" w:fill="D9D9D9" w:themeFill="background1" w:themeFillShade="D9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318 (51.9)</w:t>
            </w:r>
          </w:p>
        </w:tc>
        <w:tc>
          <w:tcPr>
            <w:tcW w:w="2907" w:type="dxa"/>
            <w:shd w:val="clear" w:color="auto" w:fill="D9D9D9" w:themeFill="background1" w:themeFillShade="D9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371 (65.5)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84754E" w:rsidRPr="00946CD4" w:rsidRDefault="0084754E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&lt; 0.05</w:t>
            </w:r>
          </w:p>
        </w:tc>
      </w:tr>
      <w:tr w:rsidR="0084754E" w:rsidRPr="00946CD4" w:rsidTr="000A4217">
        <w:trPr>
          <w:trHeight w:val="343"/>
          <w:jc w:val="center"/>
        </w:trPr>
        <w:tc>
          <w:tcPr>
            <w:tcW w:w="3248" w:type="dxa"/>
          </w:tcPr>
          <w:p w:rsidR="0084754E" w:rsidRPr="002214F8" w:rsidRDefault="0084754E" w:rsidP="000A4217">
            <w:pPr>
              <w:spacing w:line="480" w:lineRule="auto"/>
              <w:rPr>
                <w:rFonts w:eastAsiaTheme="minorEastAsia" w:cs="Times New Roman"/>
                <w:b/>
                <w:sz w:val="22"/>
                <w:szCs w:val="22"/>
              </w:rPr>
            </w:pPr>
            <w:r w:rsidRPr="002214F8">
              <w:rPr>
                <w:rFonts w:eastAsiaTheme="minorEastAsia" w:cs="Times New Roman" w:hint="eastAsia"/>
                <w:b/>
                <w:sz w:val="22"/>
                <w:szCs w:val="22"/>
              </w:rPr>
              <w:t>Clinical resolution, n (%)</w:t>
            </w:r>
          </w:p>
        </w:tc>
        <w:tc>
          <w:tcPr>
            <w:tcW w:w="3250" w:type="dxa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328 (53.5)</w:t>
            </w:r>
          </w:p>
        </w:tc>
        <w:tc>
          <w:tcPr>
            <w:tcW w:w="2907" w:type="dxa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397 (70.1)</w:t>
            </w:r>
          </w:p>
        </w:tc>
        <w:tc>
          <w:tcPr>
            <w:tcW w:w="1368" w:type="dxa"/>
          </w:tcPr>
          <w:p w:rsidR="0084754E" w:rsidRPr="00946CD4" w:rsidRDefault="0084754E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&lt; 0.001</w:t>
            </w:r>
          </w:p>
        </w:tc>
      </w:tr>
    </w:tbl>
    <w:p w:rsidR="0084754E" w:rsidRDefault="0084754E" w:rsidP="0084754E">
      <w:pPr>
        <w:spacing w:line="480" w:lineRule="auto"/>
        <w:rPr>
          <w:rFonts w:ascii="Times" w:hAnsi="Times"/>
        </w:rPr>
      </w:pPr>
      <w:r w:rsidRPr="00873BED">
        <w:rPr>
          <w:rFonts w:ascii="Times" w:hAnsi="Times" w:hint="eastAsia"/>
        </w:rPr>
        <w:t>Data were presented as number (percent). Statistical analysis was performed by Chi-Squared test or Fisher exact test.</w:t>
      </w:r>
    </w:p>
    <w:p w:rsidR="0084754E" w:rsidRPr="00946CD4" w:rsidRDefault="0084754E" w:rsidP="0084754E">
      <w:pPr>
        <w:spacing w:line="480" w:lineRule="auto"/>
        <w:rPr>
          <w:rFonts w:ascii="Times New Roman" w:hAnsi="Times New Roman" w:cs="Times New Roman"/>
        </w:rPr>
      </w:pPr>
      <w:r w:rsidRPr="00946CD4">
        <w:rPr>
          <w:rFonts w:ascii="Times" w:hAnsi="Times"/>
        </w:rPr>
        <w:lastRenderedPageBreak/>
        <w:t>Abbreviations:</w:t>
      </w:r>
      <w:r w:rsidRPr="00946CD4">
        <w:rPr>
          <w:rFonts w:ascii="Times" w:hAnsi="Times" w:hint="eastAsia"/>
        </w:rPr>
        <w:t xml:space="preserve"> SBP, </w:t>
      </w:r>
      <w:r w:rsidRPr="00946CD4">
        <w:rPr>
          <w:rFonts w:ascii="Times" w:hAnsi="Times"/>
        </w:rPr>
        <w:t>spontaneous bacterial peritonitis</w:t>
      </w:r>
      <w:r w:rsidRPr="00946CD4">
        <w:rPr>
          <w:rFonts w:ascii="Times" w:hAnsi="Times" w:hint="eastAsia"/>
        </w:rPr>
        <w:t xml:space="preserve">; UTI, </w:t>
      </w:r>
      <w:r w:rsidRPr="00946CD4">
        <w:rPr>
          <w:rFonts w:ascii="Times New Roman" w:hAnsi="Times New Roman" w:cs="Times New Roman"/>
        </w:rPr>
        <w:t>urinary tract infection</w:t>
      </w:r>
      <w:r w:rsidRPr="00946CD4">
        <w:rPr>
          <w:rFonts w:ascii="Times" w:hAnsi="Times" w:hint="eastAsia"/>
        </w:rPr>
        <w:t xml:space="preserve">; SIRS, </w:t>
      </w:r>
      <w:r w:rsidRPr="00946CD4">
        <w:rPr>
          <w:rFonts w:ascii="Times" w:hAnsi="Times"/>
        </w:rPr>
        <w:t>systemic inflammatory response syndrome</w:t>
      </w:r>
      <w:r w:rsidRPr="00946CD4">
        <w:rPr>
          <w:rFonts w:ascii="Times" w:hAnsi="Times" w:hint="eastAsia"/>
        </w:rPr>
        <w:t>; qSOFA, q</w:t>
      </w:r>
      <w:r w:rsidRPr="00946CD4">
        <w:rPr>
          <w:rFonts w:ascii="Times" w:hAnsi="Times"/>
        </w:rPr>
        <w:t>uick</w:t>
      </w:r>
      <w:r w:rsidRPr="00946CD4">
        <w:rPr>
          <w:rFonts w:ascii="Times" w:hAnsi="Times" w:hint="eastAsia"/>
        </w:rPr>
        <w:t xml:space="preserve"> </w:t>
      </w:r>
      <w:r w:rsidRPr="00946CD4">
        <w:rPr>
          <w:rFonts w:ascii="Times" w:hAnsi="Times"/>
        </w:rPr>
        <w:t>sepsis-related organ failure assessment</w:t>
      </w:r>
      <w:r w:rsidRPr="00946CD4">
        <w:rPr>
          <w:rFonts w:ascii="Times" w:hAnsi="Times" w:hint="eastAsia"/>
        </w:rPr>
        <w:t>.</w:t>
      </w:r>
    </w:p>
    <w:p w:rsidR="0084754E" w:rsidRDefault="0084754E" w:rsidP="0084754E">
      <w:pPr>
        <w:spacing w:line="480" w:lineRule="auto"/>
        <w:rPr>
          <w:rFonts w:ascii="Times New Roman" w:hAnsi="Times New Roman" w:cs="Times New Roman"/>
          <w:b/>
          <w:bCs/>
        </w:rPr>
      </w:pPr>
    </w:p>
    <w:p w:rsidR="00C17D1C" w:rsidRDefault="00C17D1C"/>
    <w:sectPr w:rsidR="00C17D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characterSpacingControl w:val="doNotCompress"/>
  <w:compat>
    <w:useFELayout/>
  </w:compat>
  <w:rsids>
    <w:rsidRoot w:val="0084754E"/>
    <w:rsid w:val="0084754E"/>
    <w:rsid w:val="00C1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nxianbiao">
    <w:name w:val="sanxianbiao"/>
    <w:basedOn w:val="TableNormal"/>
    <w:uiPriority w:val="99"/>
    <w:rsid w:val="0084754E"/>
    <w:pPr>
      <w:spacing w:after="0" w:line="240" w:lineRule="auto"/>
    </w:pPr>
    <w:rPr>
      <w:rFonts w:ascii="Times New Roman" w:eastAsia="Times New Roman" w:hAnsi="Times New Roman"/>
      <w:kern w:val="2"/>
      <w:sz w:val="21"/>
      <w:szCs w:val="21"/>
      <w:lang w:eastAsia="zh-CN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2025-06-28T07:26:00Z</dcterms:created>
  <dcterms:modified xsi:type="dcterms:W3CDTF">2025-06-28T07:26:00Z</dcterms:modified>
</cp:coreProperties>
</file>