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D2" w:rsidRPr="00C67707" w:rsidRDefault="000770D2" w:rsidP="000770D2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0770D2" w:rsidRDefault="000770D2" w:rsidP="000770D2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0770D2" w:rsidRDefault="000770D2" w:rsidP="000770D2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0770D2" w:rsidRPr="00946CD4" w:rsidRDefault="000770D2" w:rsidP="000770D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Supplementary </w:t>
      </w:r>
      <w:r w:rsidRPr="00946CD4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6.</w:t>
      </w:r>
      <w:r w:rsidRPr="00946CD4">
        <w:rPr>
          <w:rFonts w:ascii="Times New Roman" w:hAnsi="Times New Roman" w:cs="Times New Roman"/>
          <w:b/>
          <w:bCs/>
        </w:rPr>
        <w:t xml:space="preserve"> </w:t>
      </w:r>
      <w:r w:rsidRPr="00247029">
        <w:rPr>
          <w:rFonts w:ascii="Times New Roman" w:hAnsi="Times New Roman" w:cs="Times New Roman" w:hint="eastAsia"/>
          <w:b/>
          <w:bCs/>
        </w:rPr>
        <w:t xml:space="preserve">Comparison of the </w:t>
      </w:r>
      <w:r>
        <w:rPr>
          <w:rFonts w:ascii="Times New Roman" w:hAnsi="Times New Roman" w:cs="Times New Roman" w:hint="eastAsia"/>
          <w:b/>
          <w:bCs/>
        </w:rPr>
        <w:t xml:space="preserve">baseline </w:t>
      </w:r>
      <w:r w:rsidRPr="00247029">
        <w:rPr>
          <w:rFonts w:ascii="Times New Roman" w:hAnsi="Times New Roman" w:cs="Times New Roman" w:hint="eastAsia"/>
          <w:b/>
          <w:bCs/>
        </w:rPr>
        <w:t xml:space="preserve">characteristics of </w:t>
      </w:r>
      <w:r>
        <w:rPr>
          <w:rFonts w:ascii="Times New Roman" w:hAnsi="Times New Roman" w:cs="Times New Roman" w:hint="eastAsia"/>
          <w:b/>
          <w:bCs/>
        </w:rPr>
        <w:t xml:space="preserve">first </w:t>
      </w:r>
      <w:r w:rsidRPr="00247029">
        <w:rPr>
          <w:rFonts w:ascii="Times New Roman" w:hAnsi="Times New Roman" w:cs="Times New Roman" w:hint="eastAsia"/>
          <w:b/>
          <w:bCs/>
        </w:rPr>
        <w:t xml:space="preserve">infections between </w:t>
      </w:r>
      <w:r>
        <w:rPr>
          <w:rFonts w:ascii="Times New Roman" w:hAnsi="Times New Roman" w:cs="Times New Roman" w:hint="eastAsia"/>
          <w:b/>
          <w:bCs/>
        </w:rPr>
        <w:t>positive and negative cultures</w:t>
      </w:r>
    </w:p>
    <w:tbl>
      <w:tblPr>
        <w:tblStyle w:val="sanxianbiao"/>
        <w:tblW w:w="10773" w:type="dxa"/>
        <w:jc w:val="center"/>
        <w:tblLook w:val="04A0"/>
      </w:tblPr>
      <w:tblGrid>
        <w:gridCol w:w="4170"/>
        <w:gridCol w:w="2556"/>
        <w:gridCol w:w="2531"/>
        <w:gridCol w:w="1516"/>
      </w:tblGrid>
      <w:tr w:rsidR="000770D2" w:rsidRPr="00946CD4" w:rsidTr="000A4217">
        <w:trPr>
          <w:cnfStyle w:val="100000000000"/>
          <w:trHeight w:val="434"/>
          <w:jc w:val="center"/>
        </w:trPr>
        <w:tc>
          <w:tcPr>
            <w:tcW w:w="4170" w:type="dxa"/>
            <w:shd w:val="clear" w:color="auto" w:fill="BFBFBF" w:themeFill="background1" w:themeFillShade="BF"/>
            <w:vAlign w:val="center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946CD4">
              <w:rPr>
                <w:rFonts w:eastAsiaTheme="minorEastAsia" w:cs="Times New Roman" w:hint="eastAsia"/>
                <w:b/>
                <w:bCs/>
                <w:sz w:val="22"/>
                <w:szCs w:val="22"/>
              </w:rPr>
              <w:t>Characteristics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/>
                <w:bCs/>
                <w:sz w:val="22"/>
                <w:szCs w:val="22"/>
              </w:rPr>
              <w:t xml:space="preserve">positive 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>(n=</w:t>
            </w:r>
            <w:r w:rsidRPr="00552468">
              <w:rPr>
                <w:rFonts w:eastAsiaTheme="minorEastAsia" w:cs="Times New Roman" w:hint="eastAsia"/>
                <w:b/>
                <w:sz w:val="22"/>
                <w:szCs w:val="22"/>
              </w:rPr>
              <w:t>620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2531" w:type="dxa"/>
            <w:shd w:val="clear" w:color="auto" w:fill="BFBFBF" w:themeFill="background1" w:themeFillShade="BF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b/>
                <w:bCs/>
                <w:sz w:val="22"/>
                <w:szCs w:val="22"/>
              </w:rPr>
            </w:pPr>
            <w:r w:rsidRPr="00946CD4">
              <w:rPr>
                <w:rFonts w:eastAsiaTheme="minorEastAsia" w:cs="Times New Roman"/>
                <w:b/>
                <w:bCs/>
                <w:sz w:val="22"/>
                <w:szCs w:val="22"/>
              </w:rPr>
              <w:t>negative</w:t>
            </w:r>
            <w:r w:rsidRPr="00946CD4">
              <w:rPr>
                <w:rFonts w:cs="Times New Roman" w:hint="eastAsia"/>
                <w:b/>
                <w:bCs/>
                <w:sz w:val="22"/>
                <w:szCs w:val="22"/>
              </w:rPr>
              <w:t xml:space="preserve"> 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>(n=</w:t>
            </w:r>
            <w:r w:rsidRPr="00552468">
              <w:rPr>
                <w:rFonts w:eastAsiaTheme="minorEastAsia" w:cs="Times New Roman" w:hint="eastAsia"/>
                <w:b/>
                <w:sz w:val="22"/>
                <w:szCs w:val="22"/>
              </w:rPr>
              <w:t>568</w:t>
            </w:r>
            <w:r w:rsidRPr="00552468">
              <w:rPr>
                <w:rFonts w:cs="Times New Roman" w:hint="eastAsia"/>
                <w:b/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BFBFBF" w:themeFill="background1" w:themeFillShade="BF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946CD4">
              <w:rPr>
                <w:rFonts w:cs="Times New Roman" w:hint="eastAsia"/>
                <w:b/>
                <w:bCs/>
                <w:i/>
                <w:sz w:val="22"/>
                <w:szCs w:val="22"/>
              </w:rPr>
              <w:t>P</w:t>
            </w:r>
            <w:r w:rsidRPr="00946CD4">
              <w:rPr>
                <w:rFonts w:cs="Times New Roman" w:hint="eastAsia"/>
                <w:b/>
                <w:bCs/>
                <w:sz w:val="22"/>
                <w:szCs w:val="22"/>
              </w:rPr>
              <w:t xml:space="preserve"> </w:t>
            </w:r>
            <w:r w:rsidRPr="00946CD4">
              <w:rPr>
                <w:rFonts w:cs="Times New Roman" w:hint="eastAsia"/>
                <w:b/>
                <w:bCs/>
                <w:i/>
                <w:iCs/>
                <w:sz w:val="22"/>
                <w:szCs w:val="22"/>
              </w:rPr>
              <w:t>value</w:t>
            </w:r>
          </w:p>
        </w:tc>
      </w:tr>
      <w:tr w:rsidR="000770D2" w:rsidRPr="00946CD4" w:rsidTr="000A4217">
        <w:trPr>
          <w:trHeight w:val="39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Age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</w:t>
            </w:r>
            <w:r w:rsidRPr="008D3DAB">
              <w:rPr>
                <w:rFonts w:cs="Times New Roman"/>
                <w:b/>
                <w:sz w:val="22"/>
                <w:szCs w:val="22"/>
              </w:rPr>
              <w:t>(y)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63.0 (52.0-72.0)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61.0 (53.0-71.0)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0.599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9257" w:type="dxa"/>
            <w:gridSpan w:val="3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Sex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0.004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Male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372 (60.0)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386 (68.0)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Female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248 (40.0)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182 (32.0)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D</w:t>
            </w:r>
            <w:r w:rsidRPr="008D3DAB">
              <w:rPr>
                <w:rFonts w:cs="Times New Roman"/>
                <w:b/>
                <w:sz w:val="22"/>
                <w:szCs w:val="22"/>
              </w:rPr>
              <w:t>iabetes mellitus,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181 (29.2)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125 (22.0)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0.005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Hypertension,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150 (24.2)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163 (28.7)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0.078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9257" w:type="dxa"/>
            <w:gridSpan w:val="3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Etiology, n (%)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0.072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/>
                <w:bCs/>
                <w:sz w:val="22"/>
                <w:szCs w:val="22"/>
              </w:rPr>
              <w:t>HBV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268 (43.2)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245 (43.1)</w:t>
            </w:r>
          </w:p>
        </w:tc>
        <w:tc>
          <w:tcPr>
            <w:tcW w:w="1516" w:type="dxa"/>
          </w:tcPr>
          <w:p w:rsidR="000770D2" w:rsidRPr="00D60200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/>
                <w:bCs/>
                <w:sz w:val="22"/>
                <w:szCs w:val="22"/>
              </w:rPr>
              <w:t>Alcohol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99 (16.0)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114 (20.1)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MASLD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43 (6.9)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27 (4.8)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Cryptogenic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69 (11.1)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45 (7.9)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0770D2" w:rsidRPr="00946CD4" w:rsidTr="000A4217">
        <w:trPr>
          <w:trHeight w:val="121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eastAsiaTheme="minorEastAsia" w:cs="Times New Roman"/>
                <w:bCs/>
                <w:sz w:val="22"/>
                <w:szCs w:val="22"/>
              </w:rPr>
            </w:pPr>
            <w:r w:rsidRPr="00716177">
              <w:rPr>
                <w:rFonts w:cs="Times New Roman"/>
                <w:bCs/>
                <w:sz w:val="22"/>
                <w:szCs w:val="22"/>
              </w:rPr>
              <w:t>Other</w:t>
            </w: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s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141 (22.7)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137 (24.1)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&gt; 0.05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Recent</w:t>
            </w:r>
            <w:r w:rsidRPr="00716177">
              <w:rPr>
                <w:rFonts w:eastAsiaTheme="minorEastAsia" w:cs="Times New Roman" w:hint="eastAsia"/>
                <w:b/>
                <w:sz w:val="22"/>
                <w:szCs w:val="22"/>
                <w:vertAlign w:val="superscript"/>
              </w:rPr>
              <w:t>*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 infection,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259 (41.8)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195 (34.3)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0.008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 xml:space="preserve">History of 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TIPS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22 (3.5)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21 (3.7)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0.891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Recent</w:t>
            </w:r>
            <w:r w:rsidRPr="008D3DAB">
              <w:rPr>
                <w:rFonts w:cs="Times New Roman" w:hint="eastAsia"/>
                <w:b/>
                <w:sz w:val="22"/>
                <w:szCs w:val="22"/>
                <w:vertAlign w:val="superscript"/>
              </w:rPr>
              <w:t>*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medications, n (%)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R</w:t>
            </w:r>
            <w:r w:rsidRPr="00716177">
              <w:rPr>
                <w:rFonts w:cs="Times New Roman"/>
                <w:bCs/>
                <w:sz w:val="22"/>
                <w:szCs w:val="22"/>
              </w:rPr>
              <w:t>ifaximin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12 (1.9)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 (0.9)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0.126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 w:hint="eastAsia"/>
                <w:bCs/>
                <w:sz w:val="22"/>
                <w:szCs w:val="22"/>
              </w:rPr>
              <w:t>β</w:t>
            </w:r>
            <w:r w:rsidRPr="00716177">
              <w:rPr>
                <w:rFonts w:cs="Times New Roman"/>
                <w:bCs/>
                <w:sz w:val="22"/>
                <w:szCs w:val="22"/>
              </w:rPr>
              <w:t>-blockers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28 (4.5)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26 (4.6)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0.960</w:t>
            </w:r>
          </w:p>
        </w:tc>
      </w:tr>
      <w:tr w:rsidR="000770D2" w:rsidRPr="00946CD4" w:rsidTr="000A4217">
        <w:trPr>
          <w:trHeight w:val="22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 w:hint="eastAsia"/>
                <w:bCs/>
                <w:sz w:val="22"/>
                <w:szCs w:val="22"/>
              </w:rPr>
              <w:lastRenderedPageBreak/>
              <w:t>PPIs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120 (19.4)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107 (18.8)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0.821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 w:hint="eastAsia"/>
                <w:bCs/>
                <w:sz w:val="22"/>
                <w:szCs w:val="22"/>
              </w:rPr>
              <w:t>Q</w:t>
            </w:r>
            <w:r w:rsidRPr="00716177">
              <w:rPr>
                <w:rFonts w:cs="Times New Roman"/>
                <w:bCs/>
                <w:sz w:val="22"/>
                <w:szCs w:val="22"/>
              </w:rPr>
              <w:t>uinolone prophylaxis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37 (6.0)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21 (3.7)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0.070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Recent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  <w:vertAlign w:val="superscript"/>
              </w:rPr>
              <w:t>*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a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ntibiotic 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use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163 (26.3)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117 (20.6)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0.021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I</w:t>
            </w:r>
            <w:r w:rsidRPr="008D3DAB">
              <w:rPr>
                <w:rFonts w:cs="Times New Roman"/>
                <w:b/>
                <w:sz w:val="22"/>
                <w:szCs w:val="22"/>
              </w:rPr>
              <w:t>nvasive procedures,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116 (18.7)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83 (14.6)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0.059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 xml:space="preserve">Recent </w:t>
            </w:r>
            <w:r w:rsidRPr="008D3DAB">
              <w:rPr>
                <w:rFonts w:cs="Times New Roman"/>
                <w:b/>
                <w:sz w:val="22"/>
                <w:szCs w:val="22"/>
              </w:rPr>
              <w:t>ICU admission,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15 (2.4)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 (1.6)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0.307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L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ength of hospital stay (day)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13.0 (8.0-19.0)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11.0 (8.0-16.0)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0.003</w:t>
            </w:r>
          </w:p>
        </w:tc>
      </w:tr>
      <w:tr w:rsidR="000770D2" w:rsidRPr="00946CD4" w:rsidTr="000A4217">
        <w:trPr>
          <w:trHeight w:val="62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MAP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 (mmHg)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80.2 (72.0-90.3)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82.2 (73.3-92.3)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0.038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H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R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 (bpm)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95.0 (84.0-109.0)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92.0 (82.0-105.0)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0.002</w:t>
            </w:r>
          </w:p>
        </w:tc>
      </w:tr>
      <w:tr w:rsidR="000770D2" w:rsidRPr="00946CD4" w:rsidTr="000A4217">
        <w:trPr>
          <w:trHeight w:val="141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 xml:space="preserve">Body temperature (°C </w:t>
            </w:r>
            <w:r w:rsidRPr="008D3DAB">
              <w:rPr>
                <w:rFonts w:cs="Times New Roman"/>
                <w:b/>
                <w:sz w:val="22"/>
                <w:szCs w:val="22"/>
              </w:rPr>
              <w:br w:type="column"/>
              <w:t>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37.8 (37.2-38.8)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37.9 (37.2-38.6)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0.205</w:t>
            </w:r>
          </w:p>
        </w:tc>
      </w:tr>
      <w:tr w:rsidR="000770D2" w:rsidRPr="00946CD4" w:rsidTr="000A4217">
        <w:trPr>
          <w:trHeight w:val="28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R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R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 (breath/min)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20.0 (19.0-22.0)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20.0 (19.0-21.0)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0.005</w:t>
            </w:r>
          </w:p>
        </w:tc>
      </w:tr>
      <w:tr w:rsidR="000770D2" w:rsidRPr="00946CD4" w:rsidTr="000A4217">
        <w:trPr>
          <w:trHeight w:val="284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SpO</w:t>
            </w:r>
            <w:r w:rsidRPr="005348EB">
              <w:rPr>
                <w:rFonts w:cs="Times New Roman" w:hint="eastAsia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96.0 (95.0-98.0)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97.0 (95.0-98.0)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0.440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Leukocytes (10</w:t>
            </w:r>
            <w:r w:rsidRPr="008D3DAB">
              <w:rPr>
                <w:rFonts w:cs="Times New Roman"/>
                <w:b/>
                <w:sz w:val="22"/>
                <w:szCs w:val="22"/>
                <w:vertAlign w:val="superscript"/>
              </w:rPr>
              <w:t>9</w:t>
            </w:r>
            <w:r w:rsidRPr="008D3DAB">
              <w:rPr>
                <w:rFonts w:cs="Times New Roman"/>
                <w:b/>
                <w:sz w:val="22"/>
                <w:szCs w:val="22"/>
              </w:rPr>
              <w:t>/L)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6.4 (3.8-11.0)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6.2 (3.5-10.3)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0.091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eastAsiaTheme="minorEastAsia"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N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LR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6.1 (2.1-13.9)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4.4 (1.5-9.5)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C-reactive protein (mg/L)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33.9 (10.2-75.9)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30.6 (12.4-68.4)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0.928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Albumin (g/L)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28.2 (24.6-32.0)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28.4 (24.8-32.8)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0.415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T</w:t>
            </w:r>
            <w:r w:rsidRPr="008D3DAB">
              <w:rPr>
                <w:rFonts w:cs="Times New Roman"/>
                <w:b/>
                <w:sz w:val="22"/>
                <w:szCs w:val="22"/>
              </w:rPr>
              <w:t>B (µmol/L)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42.7 (21.8-113.7)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40.1 (18.4-87.6)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0.115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Cr</w:t>
            </w:r>
            <w:r w:rsidRPr="008D3DAB">
              <w:rPr>
                <w:rFonts w:cs="Times New Roman"/>
                <w:b/>
                <w:sz w:val="22"/>
                <w:szCs w:val="22"/>
              </w:rPr>
              <w:t xml:space="preserve"> (µmol/L)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83.0 (62.5-122.9)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76.3 (60.0-105.3)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Serum sodium (mmol/L)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136.4 (132.0-139.7)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136.7 (133.0-139.4)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0.377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INR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1.5 (1.3-1.8)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1.4 (1.2-1.7)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0.004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Ascites,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275 (44.4)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280 (49.3)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0.140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9257" w:type="dxa"/>
            <w:gridSpan w:val="3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Hepatic encephalopathy,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</w:t>
            </w:r>
            <w:r w:rsidRPr="008D3DAB">
              <w:rPr>
                <w:rFonts w:cs="Times New Roman"/>
                <w:b/>
                <w:sz w:val="22"/>
                <w:szCs w:val="22"/>
              </w:rPr>
              <w:t>n (%)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0.041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/>
                <w:bCs/>
                <w:sz w:val="22"/>
                <w:szCs w:val="22"/>
              </w:rPr>
              <w:t>Grades 1</w:t>
            </w: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/</w:t>
            </w:r>
            <w:r w:rsidRPr="00716177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61 (9.8)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60 (10.6)</w:t>
            </w:r>
          </w:p>
        </w:tc>
        <w:tc>
          <w:tcPr>
            <w:tcW w:w="1516" w:type="dxa"/>
          </w:tcPr>
          <w:p w:rsidR="000770D2" w:rsidRPr="001275EE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0.05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716177" w:rsidRDefault="000770D2" w:rsidP="000A4217">
            <w:pPr>
              <w:spacing w:line="480" w:lineRule="auto"/>
              <w:rPr>
                <w:rFonts w:cs="Times New Roman"/>
                <w:bCs/>
                <w:sz w:val="22"/>
                <w:szCs w:val="22"/>
              </w:rPr>
            </w:pPr>
            <w:r w:rsidRPr="00716177">
              <w:rPr>
                <w:rFonts w:cs="Times New Roman"/>
                <w:bCs/>
                <w:sz w:val="22"/>
                <w:szCs w:val="22"/>
              </w:rPr>
              <w:t>Grades 3</w:t>
            </w:r>
            <w:r w:rsidRPr="00716177">
              <w:rPr>
                <w:rFonts w:eastAsiaTheme="minorEastAsia" w:cs="Times New Roman" w:hint="eastAsia"/>
                <w:bCs/>
                <w:sz w:val="22"/>
                <w:szCs w:val="22"/>
              </w:rPr>
              <w:t>/</w:t>
            </w:r>
            <w:r w:rsidRPr="00716177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78 (12.6)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46 (8.1)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0.05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Use of v</w:t>
            </w:r>
            <w:r w:rsidRPr="008D3DAB">
              <w:rPr>
                <w:rFonts w:cs="Times New Roman"/>
                <w:b/>
                <w:sz w:val="22"/>
                <w:szCs w:val="22"/>
              </w:rPr>
              <w:t>asopressors,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102 (16.5)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43 (7.6)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Transfer to ICU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87 (14.0)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41 (7.2)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lastRenderedPageBreak/>
              <w:t>M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echanical ventilation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58 (9.4)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22 (3.9)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R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enal replacement therapy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27 (4.4)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10 (1.8)</w:t>
            </w:r>
          </w:p>
        </w:tc>
        <w:tc>
          <w:tcPr>
            <w:tcW w:w="151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0.010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ACLF,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159 (25.7)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89 (15.8)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MELD score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15.0 (10.4-20.3)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13.0 (9.0-18.0)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MELD-Na score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17.0 (11.0-25.0)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15.0 (9.4-21.0)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  <w:tr w:rsidR="000770D2" w:rsidRPr="00946CD4" w:rsidTr="000A4217">
        <w:trPr>
          <w:trHeight w:val="137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S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econd infection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55 (8.9)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35 (6.2)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0.078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/>
                <w:b/>
                <w:sz w:val="22"/>
                <w:szCs w:val="22"/>
              </w:rPr>
              <w:t>I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>n-hospital mortality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16 (2.6)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 (0.7)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0.012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28-d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ay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mortality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80 (12.9)</w:t>
            </w:r>
          </w:p>
        </w:tc>
        <w:tc>
          <w:tcPr>
            <w:tcW w:w="2531" w:type="dxa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42 (7.4)</w:t>
            </w:r>
          </w:p>
        </w:tc>
        <w:tc>
          <w:tcPr>
            <w:tcW w:w="1516" w:type="dxa"/>
          </w:tcPr>
          <w:p w:rsidR="000770D2" w:rsidRPr="000B664C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 w:rsidRPr="000B664C">
              <w:rPr>
                <w:rFonts w:eastAsiaTheme="minorEastAsia" w:cs="Times New Roman" w:hint="eastAsia"/>
                <w:sz w:val="22"/>
                <w:szCs w:val="22"/>
              </w:rPr>
              <w:t>0.002</w:t>
            </w:r>
          </w:p>
        </w:tc>
      </w:tr>
      <w:tr w:rsidR="000770D2" w:rsidRPr="00946CD4" w:rsidTr="000A4217">
        <w:trPr>
          <w:trHeight w:val="138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0770D2" w:rsidRPr="008D3DAB" w:rsidRDefault="000770D2" w:rsidP="000A4217">
            <w:pPr>
              <w:spacing w:line="480" w:lineRule="auto"/>
              <w:rPr>
                <w:rFonts w:cs="Times New Roman"/>
                <w:b/>
                <w:sz w:val="22"/>
                <w:szCs w:val="22"/>
              </w:rPr>
            </w:pPr>
            <w:r w:rsidRPr="008D3DAB">
              <w:rPr>
                <w:rFonts w:cs="Times New Roman" w:hint="eastAsia"/>
                <w:b/>
                <w:sz w:val="22"/>
                <w:szCs w:val="22"/>
              </w:rPr>
              <w:t>90-d</w:t>
            </w:r>
            <w:r w:rsidRPr="008D3DAB">
              <w:rPr>
                <w:rFonts w:eastAsiaTheme="minorEastAsia" w:cs="Times New Roman" w:hint="eastAsia"/>
                <w:b/>
                <w:sz w:val="22"/>
                <w:szCs w:val="22"/>
              </w:rPr>
              <w:t>ay</w:t>
            </w:r>
            <w:r w:rsidRPr="008D3DAB">
              <w:rPr>
                <w:rFonts w:cs="Times New Roman" w:hint="eastAsia"/>
                <w:b/>
                <w:sz w:val="22"/>
                <w:szCs w:val="22"/>
              </w:rPr>
              <w:t xml:space="preserve"> mortality</w:t>
            </w:r>
            <w:r w:rsidRPr="008D3DAB">
              <w:rPr>
                <w:rFonts w:cs="Times New Roman"/>
                <w:b/>
                <w:sz w:val="22"/>
                <w:szCs w:val="22"/>
              </w:rPr>
              <w:t>, n (%)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127 (20.5)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71 (12.5)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0770D2" w:rsidRPr="00946CD4" w:rsidRDefault="000770D2" w:rsidP="000A4217">
            <w:pPr>
              <w:spacing w:line="480" w:lineRule="auto"/>
              <w:rPr>
                <w:rFonts w:eastAsiaTheme="minorEastAsia" w:cs="Times New Roman"/>
                <w:sz w:val="22"/>
                <w:szCs w:val="22"/>
                <w:highlight w:val="yellow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>&lt; 0.001</w:t>
            </w:r>
          </w:p>
        </w:tc>
      </w:tr>
    </w:tbl>
    <w:p w:rsidR="000770D2" w:rsidRPr="00946CD4" w:rsidRDefault="000770D2" w:rsidP="000770D2">
      <w:pPr>
        <w:spacing w:line="480" w:lineRule="auto"/>
        <w:rPr>
          <w:rFonts w:ascii="Times" w:hAnsi="Times"/>
        </w:rPr>
      </w:pPr>
      <w:r w:rsidRPr="00946CD4">
        <w:rPr>
          <w:rFonts w:ascii="Times" w:hAnsi="Times" w:hint="eastAsia"/>
        </w:rPr>
        <w:t>Data were presented as</w:t>
      </w:r>
      <w:r w:rsidRPr="00946CD4">
        <w:rPr>
          <w:rFonts w:ascii="Times" w:hAnsi="Times"/>
        </w:rPr>
        <w:t xml:space="preserve"> mean ± standard deviation (SD), median (IQR) or number (percent)</w:t>
      </w:r>
      <w:r w:rsidRPr="00946CD4">
        <w:rPr>
          <w:rFonts w:ascii="Times" w:hAnsi="Times" w:hint="eastAsia"/>
        </w:rPr>
        <w:t>.</w:t>
      </w:r>
    </w:p>
    <w:p w:rsidR="000770D2" w:rsidRPr="00946CD4" w:rsidRDefault="000770D2" w:rsidP="000770D2">
      <w:pPr>
        <w:spacing w:line="480" w:lineRule="auto"/>
        <w:rPr>
          <w:rFonts w:ascii="Times" w:hAnsi="Times"/>
        </w:rPr>
      </w:pPr>
      <w:r w:rsidRPr="00946CD4">
        <w:rPr>
          <w:rFonts w:ascii="Times" w:hAnsi="Times"/>
        </w:rPr>
        <w:t>Statistical analysis was performed by</w:t>
      </w:r>
      <w:r w:rsidRPr="00946CD4">
        <w:rPr>
          <w:rFonts w:ascii="Times" w:hAnsi="Times" w:hint="eastAsia"/>
        </w:rPr>
        <w:t xml:space="preserve"> </w:t>
      </w:r>
      <w:r w:rsidRPr="00946CD4">
        <w:rPr>
          <w:rFonts w:ascii="Times" w:hAnsi="Times"/>
        </w:rPr>
        <w:t xml:space="preserve">Chi-square test or Fisher exact test </w:t>
      </w:r>
      <w:r w:rsidRPr="00946CD4">
        <w:rPr>
          <w:rFonts w:ascii="Times" w:hAnsi="Times" w:hint="eastAsia"/>
        </w:rPr>
        <w:t>and</w:t>
      </w:r>
      <w:r w:rsidRPr="00946CD4">
        <w:rPr>
          <w:rFonts w:ascii="Times" w:hAnsi="Times"/>
        </w:rPr>
        <w:t xml:space="preserve"> the Mann—Whitney U test</w:t>
      </w:r>
      <w:r w:rsidRPr="00946CD4">
        <w:rPr>
          <w:rFonts w:ascii="Times" w:hAnsi="Times" w:hint="eastAsia"/>
        </w:rPr>
        <w:t>.</w:t>
      </w:r>
    </w:p>
    <w:p w:rsidR="000770D2" w:rsidRPr="00946CD4" w:rsidRDefault="000770D2" w:rsidP="000770D2">
      <w:pPr>
        <w:spacing w:line="480" w:lineRule="auto"/>
        <w:rPr>
          <w:rFonts w:ascii="Times" w:hAnsi="Times"/>
        </w:rPr>
      </w:pPr>
      <w:r w:rsidRPr="00946CD4">
        <w:rPr>
          <w:rFonts w:ascii="Times" w:hAnsi="Times"/>
        </w:rPr>
        <w:t>Abbreviations:</w:t>
      </w:r>
      <w:r w:rsidRPr="00946CD4">
        <w:rPr>
          <w:rFonts w:ascii="Times" w:hAnsi="Times" w:hint="eastAsia"/>
        </w:rPr>
        <w:t xml:space="preserve"> HBV, </w:t>
      </w:r>
      <w:r w:rsidRPr="00946CD4">
        <w:rPr>
          <w:rFonts w:ascii="Times" w:hAnsi="Times"/>
        </w:rPr>
        <w:t>hepatitis B</w:t>
      </w:r>
      <w:r w:rsidRPr="00946CD4">
        <w:rPr>
          <w:rFonts w:ascii="Times" w:hAnsi="Times" w:hint="eastAsia"/>
        </w:rPr>
        <w:t xml:space="preserve"> </w:t>
      </w:r>
      <w:r w:rsidRPr="00946CD4">
        <w:rPr>
          <w:rFonts w:ascii="Times" w:hAnsi="Times"/>
        </w:rPr>
        <w:t>virus</w:t>
      </w:r>
      <w:r w:rsidRPr="00946CD4">
        <w:rPr>
          <w:rFonts w:ascii="Times" w:hAnsi="Times" w:hint="eastAsia"/>
        </w:rPr>
        <w:t xml:space="preserve">; PBC, </w:t>
      </w:r>
      <w:r w:rsidRPr="00946CD4">
        <w:rPr>
          <w:rFonts w:ascii="Times" w:hAnsi="Times"/>
        </w:rPr>
        <w:t>primary biliary cirrhosis</w:t>
      </w:r>
      <w:r w:rsidRPr="00946CD4">
        <w:rPr>
          <w:rFonts w:ascii="Times" w:hAnsi="Times" w:hint="eastAsia"/>
        </w:rPr>
        <w:t xml:space="preserve">; AIH, </w:t>
      </w:r>
      <w:r w:rsidRPr="00946CD4">
        <w:rPr>
          <w:rFonts w:ascii="Times" w:hAnsi="Times"/>
        </w:rPr>
        <w:t>autoimmune hepatitis</w:t>
      </w:r>
      <w:r w:rsidRPr="00946CD4">
        <w:rPr>
          <w:rFonts w:ascii="Times" w:hAnsi="Times" w:hint="eastAsia"/>
        </w:rPr>
        <w:t xml:space="preserve">; TIPS, </w:t>
      </w:r>
      <w:r w:rsidRPr="00946CD4">
        <w:rPr>
          <w:rFonts w:ascii="Times" w:hAnsi="Times"/>
        </w:rPr>
        <w:t>transjugular intrahepatic portosystemic shunt</w:t>
      </w:r>
      <w:r w:rsidRPr="00946CD4">
        <w:rPr>
          <w:rFonts w:ascii="Times" w:hAnsi="Times" w:hint="eastAsia"/>
        </w:rPr>
        <w:t xml:space="preserve">; PPI, </w:t>
      </w:r>
      <w:r w:rsidRPr="00946CD4">
        <w:rPr>
          <w:rFonts w:ascii="Times" w:hAnsi="Times"/>
        </w:rPr>
        <w:t>proton pump inhibitor</w:t>
      </w:r>
      <w:r w:rsidRPr="00946CD4">
        <w:rPr>
          <w:rFonts w:ascii="Times" w:hAnsi="Times" w:hint="eastAsia"/>
        </w:rPr>
        <w:t>; ICU, i</w:t>
      </w:r>
      <w:r w:rsidRPr="00946CD4">
        <w:rPr>
          <w:rFonts w:ascii="Times" w:hAnsi="Times"/>
        </w:rPr>
        <w:t xml:space="preserve">ntensive </w:t>
      </w:r>
      <w:r w:rsidRPr="00946CD4">
        <w:rPr>
          <w:rFonts w:ascii="Times" w:hAnsi="Times" w:hint="eastAsia"/>
        </w:rPr>
        <w:t>c</w:t>
      </w:r>
      <w:r w:rsidRPr="00946CD4">
        <w:rPr>
          <w:rFonts w:ascii="Times" w:hAnsi="Times"/>
        </w:rPr>
        <w:t xml:space="preserve">are </w:t>
      </w:r>
      <w:r w:rsidRPr="00946CD4">
        <w:rPr>
          <w:rFonts w:ascii="Times" w:hAnsi="Times" w:hint="eastAsia"/>
        </w:rPr>
        <w:t>u</w:t>
      </w:r>
      <w:r w:rsidRPr="00946CD4">
        <w:rPr>
          <w:rFonts w:ascii="Times" w:hAnsi="Times"/>
        </w:rPr>
        <w:t>nit</w:t>
      </w:r>
      <w:r w:rsidRPr="00946CD4">
        <w:rPr>
          <w:rFonts w:ascii="Times" w:hAnsi="Times" w:hint="eastAsia"/>
        </w:rPr>
        <w:t xml:space="preserve">; MAP, </w:t>
      </w:r>
      <w:r w:rsidRPr="00946CD4">
        <w:rPr>
          <w:rFonts w:ascii="Times" w:hAnsi="Times"/>
        </w:rPr>
        <w:t>mean arterial pressure</w:t>
      </w:r>
      <w:r w:rsidRPr="00946CD4">
        <w:rPr>
          <w:rFonts w:ascii="Times" w:hAnsi="Times" w:hint="eastAsia"/>
        </w:rPr>
        <w:t>; HR, heart rate; RR, r</w:t>
      </w:r>
      <w:r w:rsidRPr="00946CD4">
        <w:rPr>
          <w:rFonts w:ascii="Times" w:hAnsi="Times"/>
        </w:rPr>
        <w:t>espiratory</w:t>
      </w:r>
      <w:r w:rsidRPr="00946CD4">
        <w:rPr>
          <w:rFonts w:ascii="Times" w:hAnsi="Times" w:hint="eastAsia"/>
        </w:rPr>
        <w:t xml:space="preserve"> r</w:t>
      </w:r>
      <w:r w:rsidRPr="00946CD4">
        <w:rPr>
          <w:rFonts w:ascii="Times" w:hAnsi="Times"/>
        </w:rPr>
        <w:t>ate</w:t>
      </w:r>
      <w:r w:rsidRPr="00946CD4">
        <w:rPr>
          <w:rFonts w:ascii="Times" w:hAnsi="Times" w:hint="eastAsia"/>
        </w:rPr>
        <w:t xml:space="preserve">; SpO2, percutaneous arterial oxygen saturation; NLR, </w:t>
      </w:r>
      <w:r w:rsidRPr="00946CD4">
        <w:rPr>
          <w:rFonts w:ascii="Times" w:hAnsi="Times"/>
        </w:rPr>
        <w:t>Neutrophil to Lymphocyte ratio</w:t>
      </w:r>
      <w:r w:rsidRPr="00946CD4">
        <w:rPr>
          <w:rFonts w:ascii="Times" w:hAnsi="Times" w:hint="eastAsia"/>
        </w:rPr>
        <w:t>; TB, t</w:t>
      </w:r>
      <w:r w:rsidRPr="00946CD4">
        <w:rPr>
          <w:rFonts w:ascii="Times" w:hAnsi="Times"/>
        </w:rPr>
        <w:t xml:space="preserve">otal </w:t>
      </w:r>
      <w:r w:rsidRPr="00946CD4">
        <w:rPr>
          <w:rFonts w:ascii="Times" w:hAnsi="Times" w:hint="eastAsia"/>
        </w:rPr>
        <w:t>b</w:t>
      </w:r>
      <w:r w:rsidRPr="00946CD4">
        <w:rPr>
          <w:rFonts w:ascii="Times" w:hAnsi="Times"/>
        </w:rPr>
        <w:t>ilirubin</w:t>
      </w:r>
      <w:r w:rsidRPr="00946CD4">
        <w:rPr>
          <w:rFonts w:ascii="Times" w:hAnsi="Times" w:hint="eastAsia"/>
        </w:rPr>
        <w:t xml:space="preserve">; Cr, </w:t>
      </w:r>
      <w:r w:rsidRPr="00946CD4">
        <w:rPr>
          <w:rFonts w:ascii="Times" w:hAnsi="Times"/>
        </w:rPr>
        <w:t>creatinine</w:t>
      </w:r>
      <w:r w:rsidRPr="00946CD4">
        <w:rPr>
          <w:rFonts w:ascii="Times" w:hAnsi="Times" w:hint="eastAsia"/>
        </w:rPr>
        <w:t xml:space="preserve">; INR, </w:t>
      </w:r>
      <w:r w:rsidRPr="00946CD4">
        <w:rPr>
          <w:rFonts w:ascii="Times" w:hAnsi="Times"/>
        </w:rPr>
        <w:t>international normalized ratio</w:t>
      </w:r>
      <w:r w:rsidRPr="00946CD4">
        <w:rPr>
          <w:rFonts w:ascii="Times" w:hAnsi="Times" w:hint="eastAsia"/>
        </w:rPr>
        <w:t>; ACLF, a</w:t>
      </w:r>
      <w:r w:rsidRPr="00946CD4">
        <w:rPr>
          <w:rFonts w:ascii="Times" w:hAnsi="Times"/>
        </w:rPr>
        <w:t>cute-on-chronic liver failure</w:t>
      </w:r>
      <w:r w:rsidRPr="00946CD4">
        <w:rPr>
          <w:rFonts w:ascii="Times" w:hAnsi="Times" w:hint="eastAsia"/>
        </w:rPr>
        <w:t xml:space="preserve">; MELD, </w:t>
      </w:r>
      <w:r w:rsidRPr="00946CD4">
        <w:rPr>
          <w:rFonts w:ascii="Times" w:hAnsi="Times"/>
        </w:rPr>
        <w:t>model for end-stage liver disease</w:t>
      </w:r>
      <w:r w:rsidRPr="00946CD4">
        <w:rPr>
          <w:rFonts w:ascii="Times" w:hAnsi="Times" w:hint="eastAsia"/>
        </w:rPr>
        <w:t xml:space="preserve">; MELD-Na, </w:t>
      </w:r>
      <w:r w:rsidRPr="00946CD4">
        <w:rPr>
          <w:rFonts w:ascii="Times" w:hAnsi="Times"/>
        </w:rPr>
        <w:t>model for end-stage liver disease combined with serum sodium concentration</w:t>
      </w:r>
      <w:r w:rsidRPr="00946CD4">
        <w:rPr>
          <w:rFonts w:ascii="Times" w:hAnsi="Times" w:hint="eastAsia"/>
        </w:rPr>
        <w:t>.</w:t>
      </w:r>
    </w:p>
    <w:p w:rsidR="000770D2" w:rsidRPr="00946CD4" w:rsidRDefault="000770D2" w:rsidP="000770D2">
      <w:pPr>
        <w:spacing w:line="480" w:lineRule="auto"/>
        <w:rPr>
          <w:rFonts w:ascii="Times New Roman" w:hAnsi="Times New Roman" w:cs="Times New Roman"/>
        </w:rPr>
      </w:pPr>
      <w:r>
        <w:rPr>
          <w:rFonts w:ascii="Times" w:hAnsi="Times" w:hint="eastAsia"/>
        </w:rPr>
        <w:t>D</w:t>
      </w:r>
      <w:r w:rsidRPr="00946CD4">
        <w:rPr>
          <w:rFonts w:ascii="Times" w:hAnsi="Times" w:hint="eastAsia"/>
        </w:rPr>
        <w:t xml:space="preserve">efinition of recent: recent infection, the history of infections; recent medications, in the previous month; recent </w:t>
      </w:r>
      <w:r w:rsidRPr="00946CD4">
        <w:rPr>
          <w:rFonts w:ascii="Times" w:hAnsi="Times"/>
        </w:rPr>
        <w:t>antibiotic use</w:t>
      </w:r>
      <w:r w:rsidRPr="00946CD4">
        <w:rPr>
          <w:rFonts w:ascii="Times" w:hAnsi="Times" w:hint="eastAsia"/>
        </w:rPr>
        <w:t xml:space="preserve">, </w:t>
      </w:r>
      <w:r w:rsidRPr="00946CD4">
        <w:rPr>
          <w:rFonts w:ascii="Times" w:hAnsi="Times"/>
        </w:rPr>
        <w:t>in the</w:t>
      </w:r>
      <w:r w:rsidRPr="00946CD4">
        <w:rPr>
          <w:rFonts w:ascii="Times" w:hAnsi="Times" w:hint="eastAsia"/>
        </w:rPr>
        <w:t xml:space="preserve"> previous 3 months; </w:t>
      </w:r>
      <w:r w:rsidRPr="00946CD4">
        <w:rPr>
          <w:rFonts w:ascii="Times" w:hAnsi="Times"/>
        </w:rPr>
        <w:t>Recent ICU admission</w:t>
      </w:r>
      <w:r w:rsidRPr="00946CD4">
        <w:rPr>
          <w:rFonts w:ascii="Times" w:hAnsi="Times" w:hint="eastAsia"/>
        </w:rPr>
        <w:t>, in the previous week.</w:t>
      </w:r>
    </w:p>
    <w:p w:rsidR="004604AE" w:rsidRDefault="004604AE"/>
    <w:sectPr w:rsidR="004604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compat>
    <w:useFELayout/>
  </w:compat>
  <w:rsids>
    <w:rsidRoot w:val="000770D2"/>
    <w:rsid w:val="000770D2"/>
    <w:rsid w:val="0046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xianbiao">
    <w:name w:val="sanxianbiao"/>
    <w:basedOn w:val="TableNormal"/>
    <w:uiPriority w:val="99"/>
    <w:rsid w:val="000770D2"/>
    <w:pPr>
      <w:spacing w:after="0" w:line="240" w:lineRule="auto"/>
    </w:pPr>
    <w:rPr>
      <w:rFonts w:ascii="Times New Roman" w:eastAsia="Times New Roman" w:hAnsi="Times New Roman"/>
      <w:kern w:val="2"/>
      <w:sz w:val="21"/>
      <w:szCs w:val="21"/>
      <w:lang w:eastAsia="zh-CN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2025-06-28T07:26:00Z</dcterms:created>
  <dcterms:modified xsi:type="dcterms:W3CDTF">2025-06-28T07:26:00Z</dcterms:modified>
</cp:coreProperties>
</file>