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0AA" w:rsidRPr="00C67707" w:rsidRDefault="00B770AA" w:rsidP="00B770AA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C67707">
        <w:rPr>
          <w:rFonts w:ascii="Times New Roman" w:hAnsi="Times New Roman" w:cs="Times New Roman"/>
          <w:b/>
          <w:bCs/>
        </w:rPr>
        <w:t>Supplementary Table 2. EASL Empirical Antibiotic Treatment recommendations for Community-Acquired and Nosocomial Bacterial Infections in Cirrhosis</w:t>
      </w:r>
    </w:p>
    <w:tbl>
      <w:tblPr>
        <w:tblStyle w:val="sanxianbiao"/>
        <w:tblW w:w="10773" w:type="dxa"/>
        <w:jc w:val="center"/>
        <w:tblLook w:val="04A0"/>
      </w:tblPr>
      <w:tblGrid>
        <w:gridCol w:w="2095"/>
        <w:gridCol w:w="4099"/>
        <w:gridCol w:w="4579"/>
      </w:tblGrid>
      <w:tr w:rsidR="00B770AA" w:rsidRPr="00C67707" w:rsidTr="000A4217">
        <w:trPr>
          <w:cnfStyle w:val="100000000000"/>
          <w:trHeight w:val="220"/>
          <w:jc w:val="center"/>
        </w:trPr>
        <w:tc>
          <w:tcPr>
            <w:tcW w:w="1709" w:type="dxa"/>
            <w:shd w:val="clear" w:color="auto" w:fill="BFBFBF" w:themeFill="background1" w:themeFillShade="BF"/>
          </w:tcPr>
          <w:p w:rsidR="00B770AA" w:rsidRPr="00C67707" w:rsidRDefault="00B770AA" w:rsidP="000A4217">
            <w:pPr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C67707">
              <w:rPr>
                <w:rFonts w:cs="Times New Roman"/>
                <w:b/>
                <w:bCs/>
                <w:sz w:val="22"/>
                <w:szCs w:val="22"/>
              </w:rPr>
              <w:t>Type of infection</w:t>
            </w:r>
          </w:p>
        </w:tc>
        <w:tc>
          <w:tcPr>
            <w:tcW w:w="3344" w:type="dxa"/>
            <w:shd w:val="clear" w:color="auto" w:fill="BFBFBF" w:themeFill="background1" w:themeFillShade="BF"/>
          </w:tcPr>
          <w:p w:rsidR="00B770AA" w:rsidRPr="00C67707" w:rsidRDefault="00B770AA" w:rsidP="000A4217">
            <w:pPr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C67707">
              <w:rPr>
                <w:rFonts w:cs="Times New Roman"/>
                <w:b/>
                <w:bCs/>
                <w:sz w:val="22"/>
                <w:szCs w:val="22"/>
              </w:rPr>
              <w:t>Community-acquired infections</w:t>
            </w:r>
          </w:p>
        </w:tc>
        <w:tc>
          <w:tcPr>
            <w:tcW w:w="3736" w:type="dxa"/>
            <w:shd w:val="clear" w:color="auto" w:fill="BFBFBF" w:themeFill="background1" w:themeFillShade="BF"/>
          </w:tcPr>
          <w:p w:rsidR="00B770AA" w:rsidRPr="00C67707" w:rsidRDefault="00B770AA" w:rsidP="000A4217">
            <w:pPr>
              <w:spacing w:line="480" w:lineRule="auto"/>
              <w:rPr>
                <w:rFonts w:eastAsiaTheme="minorEastAsia" w:cs="Times New Roman"/>
                <w:b/>
                <w:bCs/>
                <w:sz w:val="22"/>
                <w:szCs w:val="22"/>
              </w:rPr>
            </w:pPr>
            <w:r w:rsidRPr="00C67707">
              <w:rPr>
                <w:rFonts w:cs="Times New Roman"/>
                <w:b/>
                <w:bCs/>
                <w:sz w:val="22"/>
                <w:szCs w:val="22"/>
              </w:rPr>
              <w:t>Nosocomial infections</w:t>
            </w:r>
          </w:p>
        </w:tc>
      </w:tr>
      <w:tr w:rsidR="00B770AA" w:rsidRPr="00C67707" w:rsidTr="000A4217">
        <w:trPr>
          <w:trHeight w:val="444"/>
          <w:jc w:val="center"/>
        </w:trPr>
        <w:tc>
          <w:tcPr>
            <w:tcW w:w="1709" w:type="dxa"/>
          </w:tcPr>
          <w:p w:rsidR="00B770AA" w:rsidRPr="00C67707" w:rsidRDefault="00B770AA" w:rsidP="000A4217">
            <w:pPr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C67707">
              <w:rPr>
                <w:rFonts w:cs="Times New Roman"/>
                <w:b/>
                <w:bCs/>
                <w:sz w:val="22"/>
                <w:szCs w:val="22"/>
              </w:rPr>
              <w:t>SBP, SBE, and spontaneous bacteremia</w:t>
            </w:r>
          </w:p>
        </w:tc>
        <w:tc>
          <w:tcPr>
            <w:tcW w:w="3344" w:type="dxa"/>
          </w:tcPr>
          <w:p w:rsidR="00B770AA" w:rsidRPr="00C67707" w:rsidRDefault="00B770AA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Cefotaxime</w:t>
            </w:r>
          </w:p>
          <w:p w:rsidR="00B770AA" w:rsidRPr="00C67707" w:rsidRDefault="00B770AA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or ceftriaxone</w:t>
            </w:r>
          </w:p>
          <w:p w:rsidR="00B770AA" w:rsidRPr="00C67707" w:rsidRDefault="00B770AA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or amoxicillin-clavulanic acid</w:t>
            </w:r>
          </w:p>
        </w:tc>
        <w:tc>
          <w:tcPr>
            <w:tcW w:w="3736" w:type="dxa"/>
          </w:tcPr>
          <w:p w:rsidR="00B770AA" w:rsidRPr="00C67707" w:rsidRDefault="00B770AA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cs="Times New Roman"/>
                <w:sz w:val="22"/>
                <w:szCs w:val="22"/>
              </w:rPr>
              <w:t>Piperacillin</w:t>
            </w:r>
            <w:r w:rsidRPr="00C67707">
              <w:rPr>
                <w:rFonts w:eastAsiaTheme="minorEastAsia" w:cs="Times New Roman"/>
                <w:sz w:val="22"/>
                <w:szCs w:val="22"/>
              </w:rPr>
              <w:t>-</w:t>
            </w:r>
            <w:r w:rsidRPr="00C67707">
              <w:rPr>
                <w:rFonts w:cs="Times New Roman"/>
                <w:sz w:val="22"/>
                <w:szCs w:val="22"/>
              </w:rPr>
              <w:t>tazobactam</w:t>
            </w:r>
            <w:r w:rsidRPr="00C67707">
              <w:rPr>
                <w:rFonts w:eastAsiaTheme="minorEastAsia" w:cs="Times New Roman"/>
                <w:sz w:val="22"/>
                <w:szCs w:val="22"/>
              </w:rPr>
              <w:t xml:space="preserve"> </w:t>
            </w:r>
            <w:r w:rsidRPr="00C67707">
              <w:rPr>
                <w:rFonts w:cs="Times New Roman"/>
                <w:sz w:val="22"/>
                <w:szCs w:val="22"/>
                <w:vertAlign w:val="superscript"/>
              </w:rPr>
              <w:t>†</w:t>
            </w:r>
          </w:p>
          <w:p w:rsidR="00B770AA" w:rsidRPr="00C67707" w:rsidRDefault="00B770AA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cs="Times New Roman"/>
                <w:sz w:val="22"/>
                <w:szCs w:val="22"/>
              </w:rPr>
              <w:t>or</w:t>
            </w:r>
            <w:r w:rsidRPr="00C67707">
              <w:rPr>
                <w:rFonts w:eastAsiaTheme="minorEastAsia" w:cs="Times New Roman"/>
                <w:sz w:val="22"/>
                <w:szCs w:val="22"/>
              </w:rPr>
              <w:t xml:space="preserve"> m</w:t>
            </w:r>
            <w:r w:rsidRPr="00C67707">
              <w:rPr>
                <w:rFonts w:cs="Times New Roman"/>
                <w:sz w:val="22"/>
                <w:szCs w:val="22"/>
              </w:rPr>
              <w:t>eropenem</w:t>
            </w:r>
            <w:r w:rsidRPr="00C67707">
              <w:rPr>
                <w:rFonts w:eastAsiaTheme="minorEastAsia" w:cs="Times New Roman"/>
                <w:sz w:val="22"/>
                <w:szCs w:val="22"/>
              </w:rPr>
              <w:t xml:space="preserve"> </w:t>
            </w:r>
            <w:r w:rsidRPr="00C67707">
              <w:rPr>
                <w:rFonts w:cs="Times New Roman"/>
                <w:sz w:val="22"/>
                <w:szCs w:val="22"/>
                <w:vertAlign w:val="superscript"/>
              </w:rPr>
              <w:t>‡</w:t>
            </w:r>
            <w:r w:rsidRPr="00C67707">
              <w:rPr>
                <w:rFonts w:cs="Times New Roman"/>
                <w:sz w:val="22"/>
                <w:szCs w:val="22"/>
              </w:rPr>
              <w:t xml:space="preserve"> ± glycopeptide</w:t>
            </w:r>
            <w:r w:rsidRPr="00C67707">
              <w:rPr>
                <w:rFonts w:eastAsiaTheme="minorEastAsia" w:cs="Times New Roman"/>
                <w:sz w:val="22"/>
                <w:szCs w:val="22"/>
              </w:rPr>
              <w:t xml:space="preserve"> </w:t>
            </w:r>
            <w:r w:rsidRPr="00C67707">
              <w:rPr>
                <w:rFonts w:cs="Times New Roman"/>
                <w:sz w:val="22"/>
                <w:szCs w:val="22"/>
                <w:vertAlign w:val="superscript"/>
              </w:rPr>
              <w:t>§</w:t>
            </w:r>
          </w:p>
        </w:tc>
      </w:tr>
      <w:tr w:rsidR="00B770AA" w:rsidRPr="00C67707" w:rsidTr="000A4217">
        <w:trPr>
          <w:trHeight w:val="216"/>
          <w:jc w:val="center"/>
        </w:trPr>
        <w:tc>
          <w:tcPr>
            <w:tcW w:w="8789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B770AA" w:rsidRPr="00C67707" w:rsidRDefault="00B770AA" w:rsidP="000A4217">
            <w:pPr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C67707">
              <w:rPr>
                <w:rFonts w:cs="Times New Roman"/>
                <w:b/>
                <w:bCs/>
                <w:sz w:val="22"/>
                <w:szCs w:val="22"/>
              </w:rPr>
              <w:t>UTI</w:t>
            </w:r>
          </w:p>
        </w:tc>
      </w:tr>
      <w:tr w:rsidR="00B770AA" w:rsidRPr="00C67707" w:rsidTr="000A4217">
        <w:trPr>
          <w:trHeight w:val="220"/>
          <w:jc w:val="center"/>
        </w:trPr>
        <w:tc>
          <w:tcPr>
            <w:tcW w:w="17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770AA" w:rsidRPr="00C67707" w:rsidRDefault="00B770AA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cs="Times New Roman"/>
                <w:sz w:val="22"/>
                <w:szCs w:val="22"/>
              </w:rPr>
              <w:t>Uncomplicated</w:t>
            </w:r>
          </w:p>
        </w:tc>
        <w:tc>
          <w:tcPr>
            <w:tcW w:w="334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770AA" w:rsidRPr="00C67707" w:rsidRDefault="00B770AA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cs="Times New Roman"/>
                <w:sz w:val="22"/>
                <w:szCs w:val="22"/>
              </w:rPr>
              <w:t>Ciprofloxacin</w:t>
            </w:r>
          </w:p>
          <w:p w:rsidR="00B770AA" w:rsidRPr="00C67707" w:rsidRDefault="00B770AA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cs="Times New Roman"/>
                <w:sz w:val="22"/>
                <w:szCs w:val="22"/>
              </w:rPr>
              <w:t>or cotrimoxazole</w:t>
            </w:r>
          </w:p>
        </w:tc>
        <w:tc>
          <w:tcPr>
            <w:tcW w:w="373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770AA" w:rsidRPr="00C67707" w:rsidRDefault="00B770AA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cs="Times New Roman"/>
                <w:sz w:val="22"/>
                <w:szCs w:val="22"/>
              </w:rPr>
              <w:t>Nitrofurantoin</w:t>
            </w:r>
          </w:p>
          <w:p w:rsidR="00B770AA" w:rsidRPr="00C67707" w:rsidRDefault="00B770AA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cs="Times New Roman"/>
                <w:sz w:val="22"/>
                <w:szCs w:val="22"/>
              </w:rPr>
              <w:t>or fosfomycin</w:t>
            </w:r>
          </w:p>
        </w:tc>
      </w:tr>
      <w:tr w:rsidR="00B770AA" w:rsidRPr="00C67707" w:rsidTr="000A4217">
        <w:trPr>
          <w:trHeight w:val="444"/>
          <w:jc w:val="center"/>
        </w:trPr>
        <w:tc>
          <w:tcPr>
            <w:tcW w:w="17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770AA" w:rsidRPr="00C67707" w:rsidRDefault="00B770AA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If</w:t>
            </w:r>
            <w:r w:rsidRPr="00C67707">
              <w:rPr>
                <w:rFonts w:cs="Times New Roman"/>
                <w:sz w:val="22"/>
                <w:szCs w:val="22"/>
              </w:rPr>
              <w:t xml:space="preserve"> sepsis</w:t>
            </w:r>
          </w:p>
        </w:tc>
        <w:tc>
          <w:tcPr>
            <w:tcW w:w="334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770AA" w:rsidRPr="00C67707" w:rsidRDefault="00B770AA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cs="Times New Roman"/>
                <w:sz w:val="22"/>
                <w:szCs w:val="22"/>
              </w:rPr>
              <w:t>Cefotaxime</w:t>
            </w:r>
          </w:p>
          <w:p w:rsidR="00B770AA" w:rsidRPr="00C67707" w:rsidRDefault="00B770AA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cs="Times New Roman"/>
                <w:sz w:val="22"/>
                <w:szCs w:val="22"/>
              </w:rPr>
              <w:t>or ceftriaxone</w:t>
            </w:r>
          </w:p>
          <w:p w:rsidR="00B770AA" w:rsidRPr="00C67707" w:rsidRDefault="00B770AA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cs="Times New Roman"/>
                <w:sz w:val="22"/>
                <w:szCs w:val="22"/>
              </w:rPr>
              <w:t>or</w:t>
            </w:r>
            <w:r w:rsidRPr="00C67707">
              <w:rPr>
                <w:rFonts w:eastAsiaTheme="minorEastAsia" w:cs="Times New Roman"/>
                <w:sz w:val="22"/>
                <w:szCs w:val="22"/>
              </w:rPr>
              <w:t xml:space="preserve"> a</w:t>
            </w:r>
            <w:r w:rsidRPr="00C67707">
              <w:rPr>
                <w:rFonts w:cs="Times New Roman"/>
                <w:sz w:val="22"/>
                <w:szCs w:val="22"/>
              </w:rPr>
              <w:t>moxicillin</w:t>
            </w:r>
            <w:r w:rsidRPr="00C67707">
              <w:rPr>
                <w:rFonts w:eastAsiaTheme="minorEastAsia" w:cs="Times New Roman"/>
                <w:sz w:val="22"/>
                <w:szCs w:val="22"/>
              </w:rPr>
              <w:t>-</w:t>
            </w:r>
            <w:r w:rsidRPr="00C67707">
              <w:rPr>
                <w:rFonts w:cs="Times New Roman"/>
                <w:sz w:val="22"/>
                <w:szCs w:val="22"/>
              </w:rPr>
              <w:t>clavulanic acid</w:t>
            </w:r>
          </w:p>
        </w:tc>
        <w:tc>
          <w:tcPr>
            <w:tcW w:w="373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770AA" w:rsidRPr="00C67707" w:rsidRDefault="00B770AA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cs="Times New Roman"/>
                <w:sz w:val="22"/>
                <w:szCs w:val="22"/>
              </w:rPr>
              <w:t>Piperacillin</w:t>
            </w:r>
            <w:r w:rsidRPr="00C67707">
              <w:rPr>
                <w:rFonts w:eastAsiaTheme="minorEastAsia" w:cs="Times New Roman"/>
                <w:sz w:val="22"/>
                <w:szCs w:val="22"/>
              </w:rPr>
              <w:t>-</w:t>
            </w:r>
            <w:r w:rsidRPr="00C67707">
              <w:rPr>
                <w:rFonts w:cs="Times New Roman"/>
                <w:sz w:val="22"/>
                <w:szCs w:val="22"/>
              </w:rPr>
              <w:t>tazobactam</w:t>
            </w:r>
            <w:r w:rsidRPr="00C67707">
              <w:rPr>
                <w:rFonts w:eastAsiaTheme="minorEastAsia" w:cs="Times New Roman"/>
                <w:sz w:val="22"/>
                <w:szCs w:val="22"/>
              </w:rPr>
              <w:t xml:space="preserve"> </w:t>
            </w:r>
            <w:r w:rsidRPr="00C67707">
              <w:rPr>
                <w:rFonts w:cs="Times New Roman"/>
                <w:sz w:val="22"/>
                <w:szCs w:val="22"/>
                <w:vertAlign w:val="superscript"/>
              </w:rPr>
              <w:t>†</w:t>
            </w:r>
          </w:p>
          <w:p w:rsidR="00B770AA" w:rsidRPr="00C67707" w:rsidRDefault="00B770AA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cs="Times New Roman"/>
                <w:sz w:val="22"/>
                <w:szCs w:val="22"/>
              </w:rPr>
              <w:t>or meropenem</w:t>
            </w:r>
            <w:r w:rsidRPr="00C67707">
              <w:rPr>
                <w:rFonts w:eastAsiaTheme="minorEastAsia" w:cs="Times New Roman"/>
                <w:sz w:val="22"/>
                <w:szCs w:val="22"/>
              </w:rPr>
              <w:t xml:space="preserve"> </w:t>
            </w:r>
            <w:r w:rsidRPr="00C67707">
              <w:rPr>
                <w:rFonts w:cs="Times New Roman"/>
                <w:sz w:val="22"/>
                <w:szCs w:val="22"/>
                <w:vertAlign w:val="superscript"/>
              </w:rPr>
              <w:t>‡</w:t>
            </w:r>
            <w:r w:rsidRPr="00C67707">
              <w:rPr>
                <w:rFonts w:cs="Times New Roman"/>
                <w:sz w:val="22"/>
                <w:szCs w:val="22"/>
              </w:rPr>
              <w:t xml:space="preserve"> ± glycopeptide</w:t>
            </w:r>
            <w:r w:rsidRPr="00C67707">
              <w:rPr>
                <w:rFonts w:eastAsiaTheme="minorEastAsia" w:cs="Times New Roman"/>
                <w:sz w:val="22"/>
                <w:szCs w:val="22"/>
              </w:rPr>
              <w:t xml:space="preserve"> </w:t>
            </w:r>
            <w:r w:rsidRPr="00C67707">
              <w:rPr>
                <w:rFonts w:cs="Times New Roman"/>
                <w:sz w:val="22"/>
                <w:szCs w:val="22"/>
                <w:vertAlign w:val="superscript"/>
              </w:rPr>
              <w:t>§</w:t>
            </w:r>
          </w:p>
        </w:tc>
      </w:tr>
      <w:tr w:rsidR="00B770AA" w:rsidRPr="00C67707" w:rsidTr="000A4217">
        <w:trPr>
          <w:trHeight w:val="284"/>
          <w:jc w:val="center"/>
        </w:trPr>
        <w:tc>
          <w:tcPr>
            <w:tcW w:w="1709" w:type="dxa"/>
            <w:tcBorders>
              <w:top w:val="nil"/>
              <w:bottom w:val="nil"/>
            </w:tcBorders>
            <w:shd w:val="clear" w:color="auto" w:fill="auto"/>
          </w:tcPr>
          <w:p w:rsidR="00B770AA" w:rsidRPr="00C67707" w:rsidRDefault="00B770AA" w:rsidP="000A4217">
            <w:pPr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C67707">
              <w:rPr>
                <w:rFonts w:cs="Times New Roman"/>
                <w:b/>
                <w:bCs/>
                <w:sz w:val="22"/>
                <w:szCs w:val="22"/>
              </w:rPr>
              <w:t>Pneumonia</w:t>
            </w:r>
          </w:p>
        </w:tc>
        <w:tc>
          <w:tcPr>
            <w:tcW w:w="3344" w:type="dxa"/>
            <w:tcBorders>
              <w:top w:val="nil"/>
              <w:bottom w:val="nil"/>
            </w:tcBorders>
            <w:shd w:val="clear" w:color="auto" w:fill="auto"/>
          </w:tcPr>
          <w:p w:rsidR="00B770AA" w:rsidRPr="00C67707" w:rsidRDefault="00B770AA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cs="Times New Roman"/>
                <w:sz w:val="22"/>
                <w:szCs w:val="22"/>
              </w:rPr>
              <w:t>Amoxicillin</w:t>
            </w:r>
            <w:r w:rsidRPr="00C67707">
              <w:rPr>
                <w:rFonts w:eastAsiaTheme="minorEastAsia" w:cs="Times New Roman"/>
                <w:sz w:val="22"/>
                <w:szCs w:val="22"/>
              </w:rPr>
              <w:t>-</w:t>
            </w:r>
            <w:r w:rsidRPr="00C67707">
              <w:rPr>
                <w:rFonts w:cs="Times New Roman"/>
                <w:sz w:val="22"/>
                <w:szCs w:val="22"/>
              </w:rPr>
              <w:t>clavulanic acid</w:t>
            </w:r>
          </w:p>
          <w:p w:rsidR="00B770AA" w:rsidRPr="00C67707" w:rsidRDefault="00B770AA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cs="Times New Roman"/>
                <w:sz w:val="22"/>
                <w:szCs w:val="22"/>
              </w:rPr>
              <w:t>or</w:t>
            </w:r>
            <w:r w:rsidRPr="00C67707">
              <w:rPr>
                <w:rFonts w:eastAsiaTheme="minorEastAsia" w:cs="Times New Roman"/>
                <w:sz w:val="22"/>
                <w:szCs w:val="22"/>
              </w:rPr>
              <w:t xml:space="preserve"> </w:t>
            </w:r>
            <w:r w:rsidRPr="00C67707">
              <w:rPr>
                <w:rFonts w:cs="Times New Roman"/>
                <w:sz w:val="22"/>
                <w:szCs w:val="22"/>
              </w:rPr>
              <w:t xml:space="preserve">ceftriaxone </w:t>
            </w:r>
            <w:r w:rsidRPr="00C67707">
              <w:rPr>
                <w:rFonts w:eastAsiaTheme="minorEastAsia" w:cs="Times New Roman"/>
                <w:sz w:val="22"/>
                <w:szCs w:val="22"/>
              </w:rPr>
              <w:t>+</w:t>
            </w:r>
            <w:r w:rsidRPr="00C67707">
              <w:rPr>
                <w:rFonts w:cs="Times New Roman"/>
                <w:sz w:val="22"/>
                <w:szCs w:val="22"/>
              </w:rPr>
              <w:t xml:space="preserve"> macrolide</w:t>
            </w:r>
          </w:p>
          <w:p w:rsidR="00B770AA" w:rsidRPr="00C67707" w:rsidRDefault="00B770AA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cs="Times New Roman"/>
                <w:sz w:val="22"/>
                <w:szCs w:val="22"/>
              </w:rPr>
              <w:t>or</w:t>
            </w:r>
            <w:r w:rsidRPr="00C67707">
              <w:rPr>
                <w:rFonts w:eastAsiaTheme="minorEastAsia" w:cs="Times New Roman"/>
                <w:sz w:val="22"/>
                <w:szCs w:val="22"/>
              </w:rPr>
              <w:t xml:space="preserve"> </w:t>
            </w:r>
            <w:r w:rsidRPr="00C67707">
              <w:rPr>
                <w:rFonts w:cs="Times New Roman"/>
                <w:sz w:val="22"/>
                <w:szCs w:val="22"/>
              </w:rPr>
              <w:t>levofloxacin</w:t>
            </w:r>
          </w:p>
          <w:p w:rsidR="00B770AA" w:rsidRPr="00C67707" w:rsidRDefault="00B770AA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cs="Times New Roman"/>
                <w:sz w:val="22"/>
                <w:szCs w:val="22"/>
              </w:rPr>
              <w:t>or moxifloxacin</w:t>
            </w:r>
          </w:p>
        </w:tc>
        <w:tc>
          <w:tcPr>
            <w:tcW w:w="3736" w:type="dxa"/>
            <w:tcBorders>
              <w:top w:val="nil"/>
              <w:bottom w:val="nil"/>
            </w:tcBorders>
            <w:shd w:val="clear" w:color="auto" w:fill="auto"/>
          </w:tcPr>
          <w:p w:rsidR="00B770AA" w:rsidRPr="00C67707" w:rsidRDefault="00B770AA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cs="Times New Roman"/>
                <w:sz w:val="22"/>
                <w:szCs w:val="22"/>
              </w:rPr>
              <w:t>Piperacillin</w:t>
            </w:r>
            <w:r w:rsidRPr="00C67707">
              <w:rPr>
                <w:rFonts w:eastAsiaTheme="minorEastAsia" w:cs="Times New Roman"/>
                <w:sz w:val="22"/>
                <w:szCs w:val="22"/>
              </w:rPr>
              <w:t>-</w:t>
            </w:r>
            <w:r w:rsidRPr="00C67707">
              <w:rPr>
                <w:rFonts w:cs="Times New Roman"/>
                <w:sz w:val="22"/>
                <w:szCs w:val="22"/>
              </w:rPr>
              <w:t>tazobactam</w:t>
            </w:r>
            <w:r w:rsidRPr="00C67707">
              <w:rPr>
                <w:rFonts w:eastAsiaTheme="minorEastAsia" w:cs="Times New Roman"/>
                <w:sz w:val="22"/>
                <w:szCs w:val="22"/>
              </w:rPr>
              <w:t xml:space="preserve"> </w:t>
            </w:r>
            <w:r w:rsidRPr="00C67707">
              <w:rPr>
                <w:rFonts w:cs="Times New Roman"/>
                <w:sz w:val="22"/>
                <w:szCs w:val="22"/>
                <w:vertAlign w:val="superscript"/>
              </w:rPr>
              <w:t>†</w:t>
            </w:r>
          </w:p>
          <w:p w:rsidR="00B770AA" w:rsidRPr="00C67707" w:rsidRDefault="00B770AA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o</w:t>
            </w:r>
            <w:r w:rsidRPr="00C67707">
              <w:rPr>
                <w:rFonts w:cs="Times New Roman"/>
                <w:sz w:val="22"/>
                <w:szCs w:val="22"/>
              </w:rPr>
              <w:t>r</w:t>
            </w:r>
            <w:r w:rsidRPr="00C67707">
              <w:rPr>
                <w:rFonts w:eastAsiaTheme="minorEastAsia" w:cs="Times New Roman"/>
                <w:sz w:val="22"/>
                <w:szCs w:val="22"/>
              </w:rPr>
              <w:t xml:space="preserve"> m</w:t>
            </w:r>
            <w:r w:rsidRPr="00C67707">
              <w:rPr>
                <w:rFonts w:cs="Times New Roman"/>
                <w:sz w:val="22"/>
                <w:szCs w:val="22"/>
              </w:rPr>
              <w:t>eropenem</w:t>
            </w:r>
            <w:r w:rsidRPr="00C67707">
              <w:rPr>
                <w:rFonts w:eastAsiaTheme="minorEastAsia" w:cs="Times New Roman"/>
                <w:sz w:val="22"/>
                <w:szCs w:val="22"/>
              </w:rPr>
              <w:t>-</w:t>
            </w:r>
            <w:r w:rsidRPr="00C67707">
              <w:rPr>
                <w:rFonts w:cs="Times New Roman"/>
                <w:sz w:val="22"/>
                <w:szCs w:val="22"/>
              </w:rPr>
              <w:t xml:space="preserve">ceftazidime </w:t>
            </w:r>
            <w:r w:rsidRPr="00C67707">
              <w:rPr>
                <w:rFonts w:eastAsiaTheme="minorEastAsia" w:cs="Times New Roman"/>
                <w:sz w:val="22"/>
                <w:szCs w:val="22"/>
              </w:rPr>
              <w:t>+</w:t>
            </w:r>
            <w:r w:rsidRPr="00C67707">
              <w:rPr>
                <w:rFonts w:cs="Times New Roman"/>
                <w:sz w:val="22"/>
                <w:szCs w:val="22"/>
              </w:rPr>
              <w:t xml:space="preserve"> ciprofloxacin ±</w:t>
            </w:r>
            <w:r w:rsidRPr="00C67707">
              <w:rPr>
                <w:rFonts w:eastAsiaTheme="minorEastAsia" w:cs="Times New Roman"/>
                <w:sz w:val="22"/>
                <w:szCs w:val="22"/>
              </w:rPr>
              <w:t xml:space="preserve"> </w:t>
            </w:r>
            <w:r w:rsidRPr="00C67707">
              <w:rPr>
                <w:rFonts w:cs="Times New Roman"/>
                <w:sz w:val="22"/>
                <w:szCs w:val="22"/>
              </w:rPr>
              <w:t>glycopeptide</w:t>
            </w:r>
            <w:r w:rsidRPr="00C67707">
              <w:rPr>
                <w:rFonts w:eastAsiaTheme="minorEastAsia" w:cs="Times New Roman"/>
                <w:sz w:val="22"/>
                <w:szCs w:val="22"/>
              </w:rPr>
              <w:t xml:space="preserve"> </w:t>
            </w:r>
            <w:r w:rsidRPr="00C67707">
              <w:rPr>
                <w:rFonts w:cs="Times New Roman"/>
                <w:sz w:val="22"/>
                <w:szCs w:val="22"/>
                <w:vertAlign w:val="superscript"/>
              </w:rPr>
              <w:t>§</w:t>
            </w:r>
            <w:r w:rsidRPr="00C67707">
              <w:rPr>
                <w:rFonts w:cs="Times New Roman"/>
                <w:sz w:val="22"/>
                <w:szCs w:val="22"/>
              </w:rPr>
              <w:t xml:space="preserve"> should be added in patients with risk factors for MRSA</w:t>
            </w:r>
            <w:r w:rsidRPr="00C67707">
              <w:rPr>
                <w:rFonts w:eastAsiaTheme="minorEastAsia" w:cs="Times New Roman"/>
                <w:sz w:val="22"/>
                <w:szCs w:val="22"/>
              </w:rPr>
              <w:t xml:space="preserve"> </w:t>
            </w:r>
            <w:r w:rsidRPr="00C67707">
              <w:rPr>
                <w:rFonts w:cs="Times New Roman"/>
                <w:sz w:val="22"/>
                <w:szCs w:val="22"/>
                <w:vertAlign w:val="superscript"/>
              </w:rPr>
              <w:t>¶</w:t>
            </w:r>
          </w:p>
        </w:tc>
      </w:tr>
      <w:tr w:rsidR="00B770AA" w:rsidRPr="00C67707" w:rsidTr="000A4217">
        <w:trPr>
          <w:trHeight w:val="444"/>
          <w:jc w:val="center"/>
        </w:trPr>
        <w:tc>
          <w:tcPr>
            <w:tcW w:w="1709" w:type="dxa"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</w:tcPr>
          <w:p w:rsidR="00B770AA" w:rsidRPr="00C67707" w:rsidRDefault="00B770AA" w:rsidP="000A4217">
            <w:pPr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C67707">
              <w:rPr>
                <w:rFonts w:cs="Times New Roman"/>
                <w:b/>
                <w:bCs/>
                <w:sz w:val="22"/>
                <w:szCs w:val="22"/>
              </w:rPr>
              <w:t>Cellulitis</w:t>
            </w:r>
          </w:p>
        </w:tc>
        <w:tc>
          <w:tcPr>
            <w:tcW w:w="3344" w:type="dxa"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</w:tcPr>
          <w:p w:rsidR="00B770AA" w:rsidRPr="00C67707" w:rsidRDefault="00B770AA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cs="Times New Roman"/>
                <w:sz w:val="22"/>
                <w:szCs w:val="22"/>
              </w:rPr>
              <w:t>Amoxicillin</w:t>
            </w:r>
            <w:r w:rsidRPr="00C67707">
              <w:rPr>
                <w:rFonts w:eastAsiaTheme="minorEastAsia" w:cs="Times New Roman"/>
                <w:sz w:val="22"/>
                <w:szCs w:val="22"/>
              </w:rPr>
              <w:t>-</w:t>
            </w:r>
            <w:r w:rsidRPr="00C67707">
              <w:rPr>
                <w:rFonts w:cs="Times New Roman"/>
                <w:sz w:val="22"/>
                <w:szCs w:val="22"/>
              </w:rPr>
              <w:t>clavulanic acid</w:t>
            </w:r>
          </w:p>
          <w:p w:rsidR="00B770AA" w:rsidRPr="00C67707" w:rsidRDefault="00B770AA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cs="Times New Roman"/>
                <w:sz w:val="22"/>
                <w:szCs w:val="22"/>
              </w:rPr>
              <w:t>or</w:t>
            </w:r>
            <w:r w:rsidRPr="00C67707">
              <w:rPr>
                <w:rFonts w:eastAsiaTheme="minorEastAsia" w:cs="Times New Roman"/>
                <w:sz w:val="22"/>
                <w:szCs w:val="22"/>
              </w:rPr>
              <w:t xml:space="preserve"> </w:t>
            </w:r>
            <w:r w:rsidRPr="00C67707">
              <w:rPr>
                <w:rFonts w:cs="Times New Roman"/>
                <w:sz w:val="22"/>
                <w:szCs w:val="22"/>
              </w:rPr>
              <w:t xml:space="preserve">ceftriaxone </w:t>
            </w:r>
            <w:r w:rsidRPr="00C67707">
              <w:rPr>
                <w:rFonts w:eastAsiaTheme="minorEastAsia" w:cs="Times New Roman"/>
                <w:sz w:val="22"/>
                <w:szCs w:val="22"/>
              </w:rPr>
              <w:t>+</w:t>
            </w:r>
            <w:r w:rsidRPr="00C67707">
              <w:rPr>
                <w:rFonts w:cs="Times New Roman"/>
                <w:sz w:val="22"/>
                <w:szCs w:val="22"/>
              </w:rPr>
              <w:t xml:space="preserve"> oxacillin</w:t>
            </w:r>
          </w:p>
        </w:tc>
        <w:tc>
          <w:tcPr>
            <w:tcW w:w="3736" w:type="dxa"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</w:tcPr>
          <w:p w:rsidR="00B770AA" w:rsidRPr="00C67707" w:rsidRDefault="00B770AA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cs="Times New Roman"/>
                <w:sz w:val="22"/>
                <w:szCs w:val="22"/>
              </w:rPr>
              <w:t>Meropenem</w:t>
            </w:r>
            <w:r w:rsidRPr="00C67707">
              <w:rPr>
                <w:rFonts w:eastAsiaTheme="minorEastAsia" w:cs="Times New Roman"/>
                <w:sz w:val="22"/>
                <w:szCs w:val="22"/>
              </w:rPr>
              <w:t>-</w:t>
            </w:r>
            <w:r w:rsidRPr="00C67707">
              <w:rPr>
                <w:rFonts w:cs="Times New Roman"/>
                <w:sz w:val="22"/>
                <w:szCs w:val="22"/>
              </w:rPr>
              <w:t>ceftazidime</w:t>
            </w:r>
            <w:r w:rsidRPr="00C67707">
              <w:rPr>
                <w:rFonts w:eastAsiaTheme="minorEastAsia" w:cs="Times New Roman"/>
                <w:sz w:val="22"/>
                <w:szCs w:val="22"/>
              </w:rPr>
              <w:t xml:space="preserve"> </w:t>
            </w:r>
            <w:r w:rsidRPr="00C67707">
              <w:rPr>
                <w:rFonts w:cs="Times New Roman"/>
                <w:sz w:val="22"/>
                <w:szCs w:val="22"/>
                <w:vertAlign w:val="superscript"/>
              </w:rPr>
              <w:t>††</w:t>
            </w:r>
            <w:r w:rsidRPr="00C67707">
              <w:rPr>
                <w:rFonts w:cs="Times New Roman"/>
                <w:sz w:val="22"/>
                <w:szCs w:val="22"/>
              </w:rPr>
              <w:t xml:space="preserve"> </w:t>
            </w:r>
            <w:r w:rsidRPr="00C67707">
              <w:rPr>
                <w:rFonts w:eastAsiaTheme="minorEastAsia" w:cs="Times New Roman"/>
                <w:sz w:val="22"/>
                <w:szCs w:val="22"/>
              </w:rPr>
              <w:t>+</w:t>
            </w:r>
            <w:r w:rsidRPr="00C67707">
              <w:rPr>
                <w:rFonts w:cs="Times New Roman"/>
                <w:sz w:val="22"/>
                <w:szCs w:val="22"/>
              </w:rPr>
              <w:t xml:space="preserve"> oxacillin</w:t>
            </w:r>
          </w:p>
          <w:p w:rsidR="00B770AA" w:rsidRPr="00C67707" w:rsidRDefault="00B770AA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cs="Times New Roman"/>
                <w:sz w:val="22"/>
                <w:szCs w:val="22"/>
              </w:rPr>
              <w:t>or</w:t>
            </w:r>
            <w:r w:rsidRPr="00C67707">
              <w:rPr>
                <w:rFonts w:eastAsiaTheme="minorEastAsia" w:cs="Times New Roman"/>
                <w:sz w:val="22"/>
                <w:szCs w:val="22"/>
              </w:rPr>
              <w:t xml:space="preserve"> g</w:t>
            </w:r>
            <w:r w:rsidRPr="00C67707">
              <w:rPr>
                <w:rFonts w:cs="Times New Roman"/>
                <w:sz w:val="22"/>
                <w:szCs w:val="22"/>
              </w:rPr>
              <w:t>lycopeptides</w:t>
            </w:r>
            <w:r w:rsidRPr="00C67707">
              <w:rPr>
                <w:rFonts w:eastAsiaTheme="minorEastAsia" w:cs="Times New Roman"/>
                <w:sz w:val="22"/>
                <w:szCs w:val="22"/>
              </w:rPr>
              <w:t xml:space="preserve"> </w:t>
            </w:r>
            <w:r w:rsidRPr="00C67707">
              <w:rPr>
                <w:rFonts w:cs="Times New Roman"/>
                <w:sz w:val="22"/>
                <w:szCs w:val="22"/>
                <w:vertAlign w:val="superscript"/>
              </w:rPr>
              <w:t>§</w:t>
            </w:r>
          </w:p>
        </w:tc>
      </w:tr>
    </w:tbl>
    <w:p w:rsidR="00B770AA" w:rsidRPr="00C67707" w:rsidRDefault="00B770AA" w:rsidP="00B770AA">
      <w:pPr>
        <w:spacing w:line="480" w:lineRule="auto"/>
        <w:rPr>
          <w:rFonts w:ascii="Times New Roman" w:hAnsi="Times New Roman" w:cs="Times New Roman"/>
        </w:rPr>
      </w:pPr>
      <w:r w:rsidRPr="00C67707">
        <w:rPr>
          <w:rFonts w:ascii="Times New Roman" w:hAnsi="Times New Roman" w:cs="Times New Roman"/>
        </w:rPr>
        <w:t xml:space="preserve">Abbreviations: EASL, European Association for the Study of the Liver; SBP, spontaneous bacterial peritonitis; SBE, spontaneous bacterial empyema; UTI, urinary tract infection; MRSA, methicillin-resistant </w:t>
      </w:r>
      <w:r w:rsidRPr="00C67707">
        <w:rPr>
          <w:rFonts w:ascii="Times New Roman" w:hAnsi="Times New Roman" w:cs="Times New Roman"/>
          <w:i/>
          <w:iCs/>
        </w:rPr>
        <w:t>Staphylococcus aureus</w:t>
      </w:r>
      <w:r w:rsidRPr="00C67707">
        <w:rPr>
          <w:rFonts w:ascii="Times New Roman" w:hAnsi="Times New Roman" w:cs="Times New Roman"/>
        </w:rPr>
        <w:t>.</w:t>
      </w:r>
    </w:p>
    <w:p w:rsidR="00B770AA" w:rsidRPr="00C67707" w:rsidRDefault="00B770AA" w:rsidP="00B770AA">
      <w:pPr>
        <w:spacing w:line="480" w:lineRule="auto"/>
        <w:rPr>
          <w:rFonts w:ascii="Times New Roman" w:hAnsi="Times New Roman" w:cs="Times New Roman"/>
        </w:rPr>
      </w:pPr>
      <w:r w:rsidRPr="00C67707">
        <w:rPr>
          <w:rFonts w:ascii="Times New Roman" w:hAnsi="Times New Roman" w:cs="Times New Roman"/>
          <w:vertAlign w:val="superscript"/>
        </w:rPr>
        <w:t>†</w:t>
      </w:r>
      <w:r w:rsidRPr="00C67707">
        <w:rPr>
          <w:rFonts w:ascii="Times New Roman" w:hAnsi="Times New Roman" w:cs="Times New Roman"/>
        </w:rPr>
        <w:t xml:space="preserve"> In areas with a low prevalence of multidrug resistant bacteria.</w:t>
      </w:r>
    </w:p>
    <w:p w:rsidR="00B770AA" w:rsidRPr="00C67707" w:rsidRDefault="00B770AA" w:rsidP="00B770AA">
      <w:pPr>
        <w:spacing w:line="480" w:lineRule="auto"/>
        <w:rPr>
          <w:rFonts w:ascii="Times New Roman" w:hAnsi="Times New Roman" w:cs="Times New Roman"/>
        </w:rPr>
      </w:pPr>
      <w:r w:rsidRPr="00C67707">
        <w:rPr>
          <w:rFonts w:ascii="Times New Roman" w:hAnsi="Times New Roman" w:cs="Times New Roman"/>
          <w:vertAlign w:val="superscript"/>
        </w:rPr>
        <w:t xml:space="preserve">‡ </w:t>
      </w:r>
      <w:r w:rsidRPr="00C67707">
        <w:rPr>
          <w:rFonts w:ascii="Times New Roman" w:hAnsi="Times New Roman" w:cs="Times New Roman"/>
        </w:rPr>
        <w:t xml:space="preserve">To cover extended-spectrum b-lactamase (ESBL)-producing </w:t>
      </w:r>
      <w:r w:rsidRPr="00C67707">
        <w:rPr>
          <w:rFonts w:ascii="Times New Roman" w:hAnsi="Times New Roman" w:cs="Times New Roman"/>
          <w:i/>
          <w:iCs/>
        </w:rPr>
        <w:t>Enterobacteriaceae</w:t>
      </w:r>
      <w:r w:rsidRPr="00C67707">
        <w:rPr>
          <w:rFonts w:ascii="Times New Roman" w:hAnsi="Times New Roman" w:cs="Times New Roman"/>
        </w:rPr>
        <w:t>.</w:t>
      </w:r>
    </w:p>
    <w:p w:rsidR="00B770AA" w:rsidRPr="00C67707" w:rsidRDefault="00B770AA" w:rsidP="00B770AA">
      <w:pPr>
        <w:spacing w:line="480" w:lineRule="auto"/>
        <w:rPr>
          <w:rFonts w:ascii="Times New Roman" w:hAnsi="Times New Roman" w:cs="Times New Roman"/>
        </w:rPr>
      </w:pPr>
      <w:r w:rsidRPr="00C67707">
        <w:rPr>
          <w:rFonts w:ascii="Times New Roman" w:hAnsi="Times New Roman" w:cs="Times New Roman"/>
          <w:vertAlign w:val="superscript"/>
        </w:rPr>
        <w:lastRenderedPageBreak/>
        <w:t>§</w:t>
      </w:r>
      <w:r w:rsidRPr="00C67707">
        <w:rPr>
          <w:rFonts w:ascii="Times New Roman" w:hAnsi="Times New Roman" w:cs="Times New Roman"/>
        </w:rPr>
        <w:t xml:space="preserve"> Intravenous vancomycin or teicoplanin in areas with a high prevalence of MRSA and VSE. Glycopeptides must be replaced by linezolid in areas with a high prevalence of VRE.</w:t>
      </w:r>
    </w:p>
    <w:p w:rsidR="00B770AA" w:rsidRPr="00C67707" w:rsidRDefault="00B770AA" w:rsidP="00B770AA">
      <w:pPr>
        <w:spacing w:line="480" w:lineRule="auto"/>
        <w:rPr>
          <w:rFonts w:ascii="Times New Roman" w:hAnsi="Times New Roman" w:cs="Times New Roman"/>
        </w:rPr>
      </w:pPr>
      <w:r w:rsidRPr="00C67707">
        <w:rPr>
          <w:rFonts w:ascii="Times New Roman" w:hAnsi="Times New Roman" w:cs="Times New Roman"/>
          <w:vertAlign w:val="superscript"/>
        </w:rPr>
        <w:t>¶</w:t>
      </w:r>
      <w:r w:rsidRPr="00C67707">
        <w:rPr>
          <w:rFonts w:ascii="Times New Roman" w:hAnsi="Times New Roman" w:cs="Times New Roman"/>
        </w:rPr>
        <w:t xml:space="preserve"> Ventilator-associated pneumonia, prior antibiotic use, and nasal MRSA carriage.</w:t>
      </w:r>
    </w:p>
    <w:p w:rsidR="00B770AA" w:rsidRPr="00C67707" w:rsidRDefault="00B770AA" w:rsidP="00B770AA">
      <w:pPr>
        <w:spacing w:line="480" w:lineRule="auto"/>
        <w:rPr>
          <w:rFonts w:ascii="Times New Roman" w:hAnsi="Times New Roman" w:cs="Times New Roman"/>
        </w:rPr>
      </w:pPr>
      <w:r w:rsidRPr="00C67707">
        <w:rPr>
          <w:rFonts w:ascii="Times New Roman" w:hAnsi="Times New Roman" w:cs="Times New Roman"/>
          <w:vertAlign w:val="superscript"/>
        </w:rPr>
        <w:t>††</w:t>
      </w:r>
      <w:r w:rsidRPr="00C67707">
        <w:rPr>
          <w:rFonts w:ascii="Times New Roman" w:hAnsi="Times New Roman" w:cs="Times New Roman"/>
        </w:rPr>
        <w:t xml:space="preserve"> Antibiotics active against </w:t>
      </w:r>
      <w:r w:rsidRPr="00C67707">
        <w:rPr>
          <w:rFonts w:ascii="Times New Roman" w:hAnsi="Times New Roman" w:cs="Times New Roman"/>
          <w:i/>
          <w:iCs/>
        </w:rPr>
        <w:t>Pseudomonas aeruginosa</w:t>
      </w:r>
      <w:r w:rsidRPr="00C67707">
        <w:rPr>
          <w:rFonts w:ascii="Times New Roman" w:hAnsi="Times New Roman" w:cs="Times New Roman"/>
        </w:rPr>
        <w:t>.</w:t>
      </w:r>
    </w:p>
    <w:p w:rsidR="00B770AA" w:rsidRPr="00C67707" w:rsidRDefault="00B770AA" w:rsidP="00B770AA">
      <w:pPr>
        <w:spacing w:line="480" w:lineRule="auto"/>
        <w:rPr>
          <w:rFonts w:ascii="Times New Roman" w:hAnsi="Times New Roman" w:cs="Times New Roman"/>
        </w:rPr>
      </w:pPr>
    </w:p>
    <w:p w:rsidR="0075366C" w:rsidRDefault="0075366C"/>
    <w:sectPr w:rsidR="0075366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characterSpacingControl w:val="doNotCompress"/>
  <w:compat>
    <w:useFELayout/>
  </w:compat>
  <w:rsids>
    <w:rsidRoot w:val="00B770AA"/>
    <w:rsid w:val="0075366C"/>
    <w:rsid w:val="00B7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anxianbiao">
    <w:name w:val="sanxianbiao"/>
    <w:basedOn w:val="TableNormal"/>
    <w:uiPriority w:val="99"/>
    <w:rsid w:val="00B770AA"/>
    <w:pPr>
      <w:spacing w:after="0" w:line="240" w:lineRule="auto"/>
    </w:pPr>
    <w:rPr>
      <w:rFonts w:ascii="Times New Roman" w:eastAsia="Times New Roman" w:hAnsi="Times New Roman"/>
      <w:kern w:val="2"/>
      <w:sz w:val="21"/>
      <w:szCs w:val="21"/>
      <w:lang w:eastAsia="zh-CN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2025-06-28T07:25:00Z</dcterms:created>
  <dcterms:modified xsi:type="dcterms:W3CDTF">2025-06-28T07:25:00Z</dcterms:modified>
</cp:coreProperties>
</file>