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DA" w:rsidRPr="00C67707" w:rsidRDefault="009774DA" w:rsidP="009774DA">
      <w:pPr>
        <w:spacing w:line="480" w:lineRule="auto"/>
        <w:rPr>
          <w:rFonts w:ascii="Times New Roman" w:hAnsi="Times New Roman" w:cs="Times New Roman"/>
        </w:rPr>
      </w:pPr>
    </w:p>
    <w:p w:rsidR="009774DA" w:rsidRPr="00C67707" w:rsidRDefault="009774DA" w:rsidP="009774DA">
      <w:pPr>
        <w:spacing w:line="480" w:lineRule="auto"/>
        <w:rPr>
          <w:rFonts w:ascii="Times New Roman" w:hAnsi="Times New Roman" w:cs="Times New Roman"/>
        </w:rPr>
      </w:pPr>
    </w:p>
    <w:p w:rsidR="009774DA" w:rsidRPr="00C67707" w:rsidRDefault="009774DA" w:rsidP="009774D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>Supplementary Table 1. Definition of each infection</w:t>
      </w:r>
      <w:r w:rsidRPr="00C67707">
        <w:rPr>
          <w:rFonts w:ascii="Times New Roman" w:hAnsi="Times New Roman" w:cs="Times New Roman"/>
          <w:b/>
          <w:bCs/>
          <w:vertAlign w:val="superscript"/>
        </w:rPr>
        <w:fldChar w:fldCharType="begin">
          <w:fldData xml:space="preserve">PEVuZE5vdGU+PENpdGU+PEF1dGhvcj5CYWphajwvQXV0aG9yPjxZZWFyPjIwMTI8L1llYXI+PFJl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</w:fldData>
        </w:fldChar>
      </w:r>
      <w:r w:rsidRPr="00C67707">
        <w:rPr>
          <w:rFonts w:ascii="Times New Roman" w:hAnsi="Times New Roman" w:cs="Times New Roman"/>
          <w:b/>
          <w:bCs/>
          <w:vertAlign w:val="superscript"/>
        </w:rPr>
        <w:instrText xml:space="preserve"> ADDIN EN.CITE </w:instrText>
      </w:r>
      <w:r w:rsidRPr="00C67707">
        <w:rPr>
          <w:rFonts w:ascii="Times New Roman" w:hAnsi="Times New Roman" w:cs="Times New Roman"/>
          <w:b/>
          <w:bCs/>
          <w:vertAlign w:val="superscript"/>
        </w:rPr>
        <w:fldChar w:fldCharType="begin">
          <w:fldData xml:space="preserve">PEVuZE5vdGU+PENpdGU+PEF1dGhvcj5CYWphajwvQXV0aG9yPjxZZWFyPjIwMTI8L1llYXI+PFJl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</w:fldData>
        </w:fldChar>
      </w:r>
      <w:r w:rsidRPr="00C67707">
        <w:rPr>
          <w:rFonts w:ascii="Times New Roman" w:hAnsi="Times New Roman" w:cs="Times New Roman"/>
          <w:b/>
          <w:bCs/>
          <w:vertAlign w:val="superscript"/>
        </w:rPr>
        <w:instrText xml:space="preserve"> ADDIN EN.CITE.DATA </w:instrText>
      </w:r>
      <w:r w:rsidRPr="00C67707">
        <w:rPr>
          <w:rFonts w:ascii="Times New Roman" w:hAnsi="Times New Roman" w:cs="Times New Roman"/>
          <w:b/>
          <w:bCs/>
          <w:vertAlign w:val="superscript"/>
        </w:rPr>
      </w:r>
      <w:r w:rsidRPr="00C67707">
        <w:rPr>
          <w:rFonts w:ascii="Times New Roman" w:hAnsi="Times New Roman" w:cs="Times New Roman"/>
          <w:b/>
          <w:bCs/>
          <w:vertAlign w:val="superscript"/>
        </w:rPr>
        <w:fldChar w:fldCharType="end"/>
      </w:r>
      <w:r w:rsidRPr="00C67707">
        <w:rPr>
          <w:rFonts w:ascii="Times New Roman" w:hAnsi="Times New Roman" w:cs="Times New Roman"/>
          <w:b/>
          <w:bCs/>
          <w:vertAlign w:val="superscript"/>
        </w:rPr>
      </w:r>
      <w:r w:rsidRPr="00C67707">
        <w:rPr>
          <w:rFonts w:ascii="Times New Roman" w:hAnsi="Times New Roman" w:cs="Times New Roman"/>
          <w:b/>
          <w:bCs/>
          <w:vertAlign w:val="superscript"/>
        </w:rPr>
        <w:fldChar w:fldCharType="separate"/>
      </w:r>
      <w:r w:rsidRPr="00C67707">
        <w:rPr>
          <w:rFonts w:ascii="Times New Roman" w:hAnsi="Times New Roman" w:cs="Times New Roman"/>
          <w:b/>
          <w:bCs/>
          <w:vertAlign w:val="superscript"/>
        </w:rPr>
        <w:t>1</w:t>
      </w:r>
      <w:r w:rsidRPr="00C67707">
        <w:rPr>
          <w:rFonts w:ascii="Times New Roman" w:hAnsi="Times New Roman" w:cs="Times New Roman"/>
          <w:b/>
          <w:bCs/>
          <w:vertAlign w:val="superscript"/>
        </w:rPr>
        <w:fldChar w:fldCharType="end"/>
      </w:r>
    </w:p>
    <w:tbl>
      <w:tblPr>
        <w:tblStyle w:val="sanxianbiao"/>
        <w:tblW w:w="10773" w:type="dxa"/>
        <w:jc w:val="center"/>
        <w:tblLook w:val="04A0"/>
      </w:tblPr>
      <w:tblGrid>
        <w:gridCol w:w="3771"/>
        <w:gridCol w:w="7002"/>
      </w:tblGrid>
      <w:tr w:rsidR="009774DA" w:rsidRPr="00C67707" w:rsidTr="000A4217">
        <w:trPr>
          <w:cnfStyle w:val="100000000000"/>
          <w:trHeight w:val="197"/>
          <w:jc w:val="center"/>
        </w:trPr>
        <w:tc>
          <w:tcPr>
            <w:tcW w:w="2977" w:type="dxa"/>
            <w:shd w:val="clear" w:color="auto" w:fill="BFBFBF" w:themeFill="background1" w:themeFillShade="BF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Infection</w:t>
            </w:r>
          </w:p>
        </w:tc>
        <w:tc>
          <w:tcPr>
            <w:tcW w:w="5527" w:type="dxa"/>
            <w:shd w:val="clear" w:color="auto" w:fill="BFBFBF" w:themeFill="background1" w:themeFillShade="BF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Definition</w:t>
            </w:r>
          </w:p>
        </w:tc>
      </w:tr>
      <w:tr w:rsidR="009774DA" w:rsidRPr="00C67707" w:rsidTr="000A4217">
        <w:trPr>
          <w:trHeight w:val="397"/>
          <w:jc w:val="center"/>
        </w:trPr>
        <w:tc>
          <w:tcPr>
            <w:tcW w:w="2977" w:type="dxa"/>
          </w:tcPr>
          <w:p w:rsidR="009774DA" w:rsidRPr="00C67707" w:rsidRDefault="009774DA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S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pontaneous bacteremia</w:t>
            </w:r>
          </w:p>
        </w:tc>
        <w:tc>
          <w:tcPr>
            <w:tcW w:w="552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P</w:t>
            </w:r>
            <w:r w:rsidRPr="00C67707">
              <w:rPr>
                <w:rFonts w:cs="Times New Roman"/>
                <w:sz w:val="22"/>
                <w:szCs w:val="22"/>
              </w:rPr>
              <w:t>ositive blood cultures without an identifiable infection source</w:t>
            </w:r>
          </w:p>
        </w:tc>
      </w:tr>
      <w:tr w:rsidR="009774DA" w:rsidRPr="00C67707" w:rsidTr="000A4217">
        <w:trPr>
          <w:trHeight w:val="393"/>
          <w:jc w:val="center"/>
        </w:trPr>
        <w:tc>
          <w:tcPr>
            <w:tcW w:w="297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S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pontaneous bacterial peritonitis</w:t>
            </w:r>
          </w:p>
        </w:tc>
        <w:tc>
          <w:tcPr>
            <w:tcW w:w="552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A</w:t>
            </w:r>
            <w:r w:rsidRPr="00C67707">
              <w:rPr>
                <w:rFonts w:cs="Times New Roman"/>
                <w:sz w:val="22"/>
                <w:szCs w:val="22"/>
              </w:rPr>
              <w:t>scitic fluid polymorphonuclear cells &gt;250/μL, with or without a positive culture</w:t>
            </w:r>
          </w:p>
        </w:tc>
      </w:tr>
      <w:tr w:rsidR="009774DA" w:rsidRPr="00C67707" w:rsidTr="000A4217">
        <w:trPr>
          <w:trHeight w:val="1191"/>
          <w:jc w:val="center"/>
        </w:trPr>
        <w:tc>
          <w:tcPr>
            <w:tcW w:w="297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P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neumonia</w:t>
            </w:r>
          </w:p>
        </w:tc>
        <w:tc>
          <w:tcPr>
            <w:tcW w:w="552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N</w:t>
            </w:r>
            <w:r w:rsidRPr="00C67707">
              <w:rPr>
                <w:rFonts w:cs="Times New Roman"/>
                <w:sz w:val="22"/>
                <w:szCs w:val="22"/>
              </w:rPr>
              <w:t>ew pulmonary infiltrate with at least one respiratory symptom (cough, sputum, dyspnea, pleuritic pain) and either an auscultatory finding (rales or crepitation) or a sign of infection (core body temperature &gt;38 °C or &lt;36 °C, shivering, or leukocyte count &gt;10,000/mm³ or &lt;4,000/mm³) in the absence of antibiotics</w:t>
            </w:r>
          </w:p>
        </w:tc>
      </w:tr>
      <w:tr w:rsidR="009774DA" w:rsidRPr="00C67707" w:rsidTr="000A4217">
        <w:trPr>
          <w:trHeight w:val="197"/>
          <w:jc w:val="center"/>
        </w:trPr>
        <w:tc>
          <w:tcPr>
            <w:tcW w:w="297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Clostridium difficile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 xml:space="preserve"> infection</w:t>
            </w:r>
          </w:p>
        </w:tc>
        <w:tc>
          <w:tcPr>
            <w:tcW w:w="552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D</w:t>
            </w:r>
            <w:r w:rsidRPr="00C67707">
              <w:rPr>
                <w:rFonts w:cs="Times New Roman"/>
                <w:sz w:val="22"/>
                <w:szCs w:val="22"/>
              </w:rPr>
              <w:t xml:space="preserve">iarrhea with a positive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Clostridium difficile</w:t>
            </w:r>
            <w:r w:rsidRPr="00C67707">
              <w:rPr>
                <w:rFonts w:cs="Times New Roman"/>
                <w:sz w:val="22"/>
                <w:szCs w:val="22"/>
              </w:rPr>
              <w:t xml:space="preserve"> assay</w:t>
            </w:r>
          </w:p>
        </w:tc>
      </w:tr>
      <w:tr w:rsidR="009774DA" w:rsidRPr="00C67707" w:rsidTr="000A4217">
        <w:trPr>
          <w:trHeight w:val="596"/>
          <w:jc w:val="center"/>
        </w:trPr>
        <w:tc>
          <w:tcPr>
            <w:tcW w:w="297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B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acterial enterocolitis</w:t>
            </w:r>
          </w:p>
        </w:tc>
        <w:tc>
          <w:tcPr>
            <w:tcW w:w="552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D</w:t>
            </w:r>
            <w:r w:rsidRPr="00C67707">
              <w:rPr>
                <w:rFonts w:cs="Times New Roman"/>
                <w:sz w:val="22"/>
                <w:szCs w:val="22"/>
              </w:rPr>
              <w:t xml:space="preserve">iarrhea or dysentery with a positive stool culture for pathogens such as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Salmonella</w:t>
            </w:r>
            <w:r w:rsidRPr="00C67707">
              <w:rPr>
                <w:rFonts w:cs="Times New Roman"/>
                <w:sz w:val="22"/>
                <w:szCs w:val="22"/>
              </w:rPr>
              <w:t xml:space="preserve">,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Shigella</w:t>
            </w:r>
            <w:r w:rsidRPr="00C67707">
              <w:rPr>
                <w:rFonts w:cs="Times New Roman"/>
                <w:sz w:val="22"/>
                <w:szCs w:val="22"/>
              </w:rPr>
              <w:t xml:space="preserve">,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Yersinia</w:t>
            </w:r>
            <w:r w:rsidRPr="00C67707">
              <w:rPr>
                <w:rFonts w:cs="Times New Roman"/>
                <w:sz w:val="22"/>
                <w:szCs w:val="22"/>
              </w:rPr>
              <w:t xml:space="preserve">,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Campylobacter</w:t>
            </w:r>
            <w:r w:rsidRPr="00C67707">
              <w:rPr>
                <w:rFonts w:cs="Times New Roman"/>
                <w:sz w:val="22"/>
                <w:szCs w:val="22"/>
              </w:rPr>
              <w:t xml:space="preserve">, or pathogenic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Escherichia coli</w:t>
            </w:r>
          </w:p>
        </w:tc>
      </w:tr>
      <w:tr w:rsidR="009774DA" w:rsidRPr="00C67707" w:rsidTr="000A4217">
        <w:trPr>
          <w:trHeight w:val="194"/>
          <w:jc w:val="center"/>
        </w:trPr>
        <w:tc>
          <w:tcPr>
            <w:tcW w:w="297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S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kin/soft tissue infection</w:t>
            </w:r>
          </w:p>
        </w:tc>
        <w:tc>
          <w:tcPr>
            <w:tcW w:w="552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F</w:t>
            </w:r>
            <w:r w:rsidRPr="00C67707">
              <w:rPr>
                <w:rFonts w:cs="Times New Roman"/>
                <w:sz w:val="22"/>
                <w:szCs w:val="22"/>
              </w:rPr>
              <w:t>ever with cellulitis</w:t>
            </w:r>
          </w:p>
        </w:tc>
      </w:tr>
      <w:tr w:rsidR="009774DA" w:rsidRPr="00C67707" w:rsidTr="000A4217">
        <w:trPr>
          <w:trHeight w:val="397"/>
          <w:jc w:val="center"/>
        </w:trPr>
        <w:tc>
          <w:tcPr>
            <w:tcW w:w="297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U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rinary tract infection</w:t>
            </w:r>
          </w:p>
        </w:tc>
        <w:tc>
          <w:tcPr>
            <w:tcW w:w="552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U</w:t>
            </w:r>
            <w:r w:rsidRPr="00C67707">
              <w:rPr>
                <w:rFonts w:cs="Times New Roman"/>
                <w:sz w:val="22"/>
                <w:szCs w:val="22"/>
              </w:rPr>
              <w:t>rine WBC &gt;15 per high-power field with positive urine gram stain or culture in a symptomatic patient</w:t>
            </w:r>
          </w:p>
        </w:tc>
      </w:tr>
      <w:tr w:rsidR="009774DA" w:rsidRPr="00C67707" w:rsidTr="000A4217">
        <w:trPr>
          <w:trHeight w:val="397"/>
          <w:jc w:val="center"/>
        </w:trPr>
        <w:tc>
          <w:tcPr>
            <w:tcW w:w="297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C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holangitis</w:t>
            </w:r>
          </w:p>
        </w:tc>
        <w:tc>
          <w:tcPr>
            <w:tcW w:w="5527" w:type="dxa"/>
            <w:shd w:val="clear" w:color="auto" w:fill="D9D9D9" w:themeFill="background1" w:themeFillShade="D9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C</w:t>
            </w:r>
            <w:r w:rsidRPr="00C67707">
              <w:rPr>
                <w:rFonts w:cs="Times New Roman"/>
                <w:sz w:val="22"/>
                <w:szCs w:val="22"/>
              </w:rPr>
              <w:t>holestasis, right upper quadrant pain and/or jaundice, and radiological evidence of biliary obstruction</w:t>
            </w:r>
          </w:p>
        </w:tc>
      </w:tr>
      <w:tr w:rsidR="009774DA" w:rsidRPr="00C67707" w:rsidTr="000A4217">
        <w:trPr>
          <w:trHeight w:val="393"/>
          <w:jc w:val="center"/>
        </w:trPr>
        <w:tc>
          <w:tcPr>
            <w:tcW w:w="297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U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nproven bacterial infection</w:t>
            </w:r>
          </w:p>
        </w:tc>
        <w:tc>
          <w:tcPr>
            <w:tcW w:w="5527" w:type="dxa"/>
          </w:tcPr>
          <w:p w:rsidR="009774DA" w:rsidRPr="00C67707" w:rsidRDefault="009774D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F</w:t>
            </w:r>
            <w:r w:rsidRPr="00C67707">
              <w:rPr>
                <w:rFonts w:cs="Times New Roman"/>
                <w:sz w:val="22"/>
                <w:szCs w:val="22"/>
              </w:rPr>
              <w:t>ever (≥38 °C) and leukocytosis (WBC ≥12,000/mm³) requiring antibiotic therapy without an identifiable source</w:t>
            </w:r>
          </w:p>
        </w:tc>
      </w:tr>
    </w:tbl>
    <w:p w:rsidR="009774DA" w:rsidRPr="00C67707" w:rsidRDefault="009774DA" w:rsidP="009774DA">
      <w:pPr>
        <w:spacing w:line="480" w:lineRule="auto"/>
        <w:rPr>
          <w:rFonts w:ascii="Times New Roman" w:hAnsi="Times New Roman" w:cs="Times New Roman"/>
        </w:rPr>
      </w:pPr>
    </w:p>
    <w:p w:rsidR="006B10A4" w:rsidRDefault="006B10A4"/>
    <w:sectPr w:rsidR="006B10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9774DA"/>
    <w:rsid w:val="006B10A4"/>
    <w:rsid w:val="0097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9774DA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2025-06-28T07:25:00Z</dcterms:created>
  <dcterms:modified xsi:type="dcterms:W3CDTF">2025-06-28T07:25:00Z</dcterms:modified>
</cp:coreProperties>
</file>