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E7" w:rsidRPr="00BE2737" w:rsidRDefault="00762EE7" w:rsidP="00762EE7">
      <w:pPr>
        <w:snapToGrid w:val="0"/>
        <w:spacing w:line="480" w:lineRule="auto"/>
        <w:jc w:val="both"/>
        <w:rPr>
          <w:rFonts w:eastAsia="PMingLiU"/>
          <w:b/>
        </w:rPr>
      </w:pPr>
      <w:r w:rsidRPr="00BE2737">
        <w:rPr>
          <w:rFonts w:ascii="Times New Roman" w:eastAsia="PMingLiU" w:hAnsi="Times New Roman" w:cs="Times New Roman"/>
          <w:b/>
        </w:rPr>
        <w:t>Supplementa</w:t>
      </w:r>
      <w:r>
        <w:rPr>
          <w:rFonts w:ascii="Times New Roman" w:eastAsia="PMingLiU" w:hAnsi="Times New Roman" w:cs="Times New Roman"/>
          <w:b/>
        </w:rPr>
        <w:t xml:space="preserve">ry </w:t>
      </w:r>
      <w:r w:rsidRPr="00BE2737">
        <w:rPr>
          <w:rFonts w:ascii="Times New Roman" w:eastAsia="PMingLiU" w:hAnsi="Times New Roman" w:cs="Times New Roman"/>
          <w:b/>
        </w:rPr>
        <w:t>Table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BE2737">
        <w:rPr>
          <w:rFonts w:ascii="Times New Roman" w:eastAsia="PMingLiU" w:hAnsi="Times New Roman" w:cs="Times New Roman"/>
          <w:b/>
        </w:rPr>
        <w:t>1.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BE2737">
        <w:rPr>
          <w:rFonts w:ascii="Times New Roman" w:eastAsia="PMingLiU" w:hAnsi="Times New Roman" w:cs="Times New Roman"/>
          <w:b/>
        </w:rPr>
        <w:t>Multivariate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BE2737">
        <w:rPr>
          <w:rFonts w:ascii="Times New Roman" w:eastAsia="PMingLiU" w:hAnsi="Times New Roman" w:cs="Times New Roman"/>
          <w:b/>
        </w:rPr>
        <w:t>logistic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BE2737">
        <w:rPr>
          <w:rFonts w:ascii="Times New Roman" w:eastAsia="PMingLiU" w:hAnsi="Times New Roman" w:cs="Times New Roman"/>
          <w:b/>
        </w:rPr>
        <w:t>regression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BE2737">
        <w:rPr>
          <w:rFonts w:ascii="Times New Roman" w:eastAsia="PMingLiU" w:hAnsi="Times New Roman" w:cs="Times New Roman"/>
          <w:b/>
        </w:rPr>
        <w:t>analysis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BE2737">
        <w:rPr>
          <w:rFonts w:ascii="Times New Roman" w:eastAsia="PMingLiU" w:hAnsi="Times New Roman" w:cs="Times New Roman"/>
          <w:b/>
        </w:rPr>
        <w:t>of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BE2737">
        <w:rPr>
          <w:rFonts w:ascii="Times New Roman" w:eastAsia="PMingLiU" w:hAnsi="Times New Roman" w:cs="Times New Roman"/>
          <w:b/>
        </w:rPr>
        <w:t>risk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BE2737">
        <w:rPr>
          <w:rFonts w:ascii="Times New Roman" w:eastAsia="PMingLiU" w:hAnsi="Times New Roman" w:cs="Times New Roman"/>
          <w:b/>
        </w:rPr>
        <w:t>factors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BE2737">
        <w:rPr>
          <w:rFonts w:ascii="Times New Roman" w:eastAsia="PMingLiU" w:hAnsi="Times New Roman" w:cs="Times New Roman"/>
          <w:b/>
        </w:rPr>
        <w:t>predicting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BE2737">
        <w:rPr>
          <w:rFonts w:ascii="Times New Roman" w:eastAsia="PMingLiU" w:hAnsi="Times New Roman" w:cs="Times New Roman"/>
          <w:b/>
        </w:rPr>
        <w:t>advanced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BE2737">
        <w:rPr>
          <w:rFonts w:ascii="Times New Roman" w:eastAsia="PMingLiU" w:hAnsi="Times New Roman" w:cs="Times New Roman"/>
          <w:b/>
        </w:rPr>
        <w:t>fibrosis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BE2737">
        <w:rPr>
          <w:rFonts w:ascii="Times New Roman" w:eastAsia="PMingLiU" w:hAnsi="Times New Roman" w:cs="Times New Roman"/>
          <w:b/>
        </w:rPr>
        <w:t>in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BE2737">
        <w:rPr>
          <w:rFonts w:ascii="Times New Roman" w:eastAsia="PMingLiU" w:hAnsi="Times New Roman" w:cs="Times New Roman"/>
          <w:b/>
        </w:rPr>
        <w:t>MAFLD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BE2737">
        <w:rPr>
          <w:rFonts w:ascii="Times New Roman" w:eastAsia="PMingLiU" w:hAnsi="Times New Roman" w:cs="Times New Roman"/>
          <w:b/>
        </w:rPr>
        <w:t>patients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BE2737">
        <w:rPr>
          <w:rFonts w:ascii="Times New Roman" w:hAnsi="Times New Roman" w:cs="Times New Roman"/>
          <w:b/>
        </w:rPr>
        <w:t>between</w:t>
      </w:r>
      <w:r>
        <w:rPr>
          <w:rFonts w:ascii="Times New Roman" w:hAnsi="Times New Roman" w:cs="Times New Roman"/>
          <w:b/>
        </w:rPr>
        <w:t xml:space="preserve"> </w:t>
      </w:r>
      <w:r w:rsidRPr="00BE2737">
        <w:rPr>
          <w:rFonts w:ascii="Times New Roman" w:hAnsi="Times New Roman" w:cs="Times New Roman"/>
          <w:b/>
        </w:rPr>
        <w:t>the</w:t>
      </w:r>
      <w:r>
        <w:rPr>
          <w:rFonts w:ascii="Times New Roman" w:hAnsi="Times New Roman" w:cs="Times New Roman"/>
          <w:b/>
        </w:rPr>
        <w:t xml:space="preserve"> </w:t>
      </w:r>
      <w:r w:rsidRPr="00BE2737">
        <w:rPr>
          <w:rFonts w:ascii="Times New Roman" w:hAnsi="Times New Roman" w:cs="Times New Roman"/>
          <w:b/>
        </w:rPr>
        <w:t>study</w:t>
      </w:r>
      <w:r>
        <w:rPr>
          <w:rFonts w:ascii="Times New Roman" w:hAnsi="Times New Roman" w:cs="Times New Roman"/>
          <w:b/>
        </w:rPr>
        <w:t xml:space="preserve"> </w:t>
      </w:r>
      <w:r w:rsidRPr="00BE2737">
        <w:rPr>
          <w:rFonts w:ascii="Times New Roman" w:hAnsi="Times New Roman" w:cs="Times New Roman"/>
          <w:b/>
        </w:rPr>
        <w:t>periods</w:t>
      </w:r>
      <w:r>
        <w:rPr>
          <w:rFonts w:ascii="Times New Roman" w:hAnsi="Times New Roman" w:cs="Times New Roman"/>
          <w:b/>
        </w:rPr>
        <w:t xml:space="preserve"> </w:t>
      </w:r>
      <w:r w:rsidRPr="00BE2737">
        <w:rPr>
          <w:rFonts w:ascii="Times New Roman" w:hAnsi="Times New Roman" w:cs="Times New Roman"/>
          <w:b/>
        </w:rPr>
        <w:t>of</w:t>
      </w:r>
      <w:r>
        <w:rPr>
          <w:rFonts w:ascii="Times New Roman" w:hAnsi="Times New Roman" w:cs="Times New Roman"/>
          <w:b/>
        </w:rPr>
        <w:t xml:space="preserve"> </w:t>
      </w:r>
      <w:r w:rsidRPr="00BE2737">
        <w:rPr>
          <w:rFonts w:ascii="Times New Roman" w:hAnsi="Times New Roman" w:cs="Times New Roman"/>
          <w:b/>
        </w:rPr>
        <w:t>2009–2014</w:t>
      </w:r>
      <w:r>
        <w:rPr>
          <w:rFonts w:ascii="Times New Roman" w:hAnsi="Times New Roman" w:cs="Times New Roman"/>
          <w:b/>
        </w:rPr>
        <w:t xml:space="preserve"> </w:t>
      </w:r>
      <w:r w:rsidRPr="00BE2737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  <w:b/>
        </w:rPr>
        <w:t xml:space="preserve"> </w:t>
      </w:r>
      <w:r w:rsidRPr="00BE2737">
        <w:rPr>
          <w:rFonts w:ascii="Times New Roman" w:hAnsi="Times New Roman" w:cs="Times New Roman"/>
          <w:b/>
        </w:rPr>
        <w:t>2015–2020</w:t>
      </w:r>
    </w:p>
    <w:tbl>
      <w:tblPr>
        <w:tblStyle w:val="TableGrid"/>
        <w:tblpPr w:leftFromText="180" w:rightFromText="180" w:vertAnchor="text" w:horzAnchor="margin" w:tblpX="-284" w:tblpY="601"/>
        <w:tblW w:w="14175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2"/>
        <w:gridCol w:w="1701"/>
        <w:gridCol w:w="1701"/>
        <w:gridCol w:w="1843"/>
        <w:gridCol w:w="1417"/>
        <w:gridCol w:w="2127"/>
        <w:gridCol w:w="1134"/>
      </w:tblGrid>
      <w:tr w:rsidR="00762EE7" w:rsidRPr="00BE2737" w:rsidTr="00C03BA2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</w:rPr>
              <w:t>Factors</w:t>
            </w:r>
          </w:p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</w:rPr>
              <w:t>FIB-4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</w:rPr>
              <w:t>Crude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</w:rPr>
              <w:t>Adjusted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</w:p>
        </w:tc>
      </w:tr>
      <w:tr w:rsidR="00762EE7" w:rsidRPr="00BE2737" w:rsidTr="00C03BA2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</w:rPr>
              <w:t>2009–2014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(</w:t>
            </w: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</w:rPr>
              <w:t>n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BE2737">
              <w:rPr>
                <w:rFonts w:ascii="Times New Roman" w:eastAsia="PMingLiU" w:hAnsi="Times New Roman" w:cs="Times New Roman"/>
                <w:b/>
                <w:bCs/>
              </w:rPr>
              <w:t>=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897)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hAnsi="Times New Roman" w:cs="Times New Roman"/>
                <w:b/>
                <w:bCs/>
                <w:lang w:eastAsia="zh-CN"/>
              </w:rPr>
              <w:t>≤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3.25,</w:t>
            </w:r>
            <w:r>
              <w:rPr>
                <w:rFonts w:ascii="Times New Roman" w:eastAsia="PMingLiU" w:hAnsi="Times New Roman" w:cs="Times New Roman"/>
                <w:b/>
                <w:bCs/>
                <w:i/>
                <w:i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</w:rPr>
              <w:t>n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BE2737">
              <w:rPr>
                <w:rFonts w:ascii="Times New Roman" w:eastAsia="PMingLiU" w:hAnsi="Times New Roman" w:cs="Times New Roman"/>
                <w:b/>
                <w:bCs/>
              </w:rPr>
              <w:t>=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</w:rPr>
              <w:t>&gt;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3.25,</w:t>
            </w:r>
            <w:r>
              <w:rPr>
                <w:rFonts w:ascii="Times New Roman" w:eastAsia="PMingLiU" w:hAnsi="Times New Roman" w:cs="Times New Roman"/>
                <w:b/>
                <w:bCs/>
                <w:i/>
                <w:i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</w:rPr>
              <w:t>n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BE2737">
              <w:rPr>
                <w:rFonts w:ascii="Times New Roman" w:eastAsia="PMingLiU" w:hAnsi="Times New Roman" w:cs="Times New Roman"/>
                <w:b/>
                <w:bCs/>
              </w:rPr>
              <w:t>=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</w:rPr>
              <w:t>OR</w:t>
            </w:r>
          </w:p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</w:rPr>
              <w:t>(95%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CI)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</w:rPr>
              <w:t>p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-value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</w:rPr>
              <w:t>OR</w:t>
            </w:r>
          </w:p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</w:rPr>
              <w:t>(95%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</w:rPr>
              <w:t>p-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value</w:t>
            </w:r>
          </w:p>
        </w:tc>
      </w:tr>
      <w:tr w:rsidR="00762EE7" w:rsidRPr="00BE2737" w:rsidTr="00C03BA2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Age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(years)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51.4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±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12.9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58.1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±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13.5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1.04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(1.01–1.07)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0.0009*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1.04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(1.01–1.07)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0.006*</w:t>
            </w:r>
          </w:p>
        </w:tc>
      </w:tr>
      <w:tr w:rsidR="00762EE7" w:rsidRPr="00BE2737" w:rsidTr="00C03BA2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Female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519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(95.4)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25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(4.6)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0.8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(0.44–1.48)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0.476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0.69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(0.36–1.31)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0.26</w:t>
            </w:r>
          </w:p>
        </w:tc>
      </w:tr>
      <w:tr w:rsidR="00762EE7" w:rsidRPr="00BE2737" w:rsidTr="00C03BA2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Male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333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(94.3)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20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(5.7)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</w:p>
        </w:tc>
      </w:tr>
      <w:tr w:rsidR="00762EE7" w:rsidRPr="00BE2737" w:rsidTr="00C03BA2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MAFLD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phenotype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</w:p>
        </w:tc>
      </w:tr>
      <w:tr w:rsidR="00762EE7" w:rsidRPr="00BE2737" w:rsidTr="00C03BA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762EE7">
            <w:pPr>
              <w:snapToGrid w:val="0"/>
              <w:spacing w:line="480" w:lineRule="auto"/>
              <w:ind w:leftChars="74" w:left="163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szCs w:val="24"/>
              </w:rPr>
              <w:t>BMI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 w:hint="eastAsia"/>
                <w:szCs w:val="24"/>
              </w:rPr>
              <w:t>≤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szCs w:val="24"/>
              </w:rPr>
              <w:t>23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szCs w:val="24"/>
              </w:rPr>
              <w:t>kg/m</w:t>
            </w:r>
            <w:r w:rsidRPr="008E039E">
              <w:rPr>
                <w:rFonts w:ascii="Times New Roman" w:eastAsia="PMingLiU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szCs w:val="24"/>
              </w:rPr>
              <w:t>and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 w:hint="eastAsia"/>
                <w:szCs w:val="24"/>
              </w:rPr>
              <w:t>≥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szCs w:val="24"/>
              </w:rPr>
              <w:t>metabolic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szCs w:val="24"/>
              </w:rPr>
              <w:t>items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22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(78.6)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6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(21.4)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6.07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(2.13–15.16)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0.002*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4.71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(1.65–13.41)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0.004*</w:t>
            </w:r>
          </w:p>
        </w:tc>
      </w:tr>
      <w:tr w:rsidR="00762EE7" w:rsidRPr="00BE2737" w:rsidTr="00C03BA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762EE7">
            <w:pPr>
              <w:tabs>
                <w:tab w:val="left" w:pos="320"/>
              </w:tabs>
              <w:snapToGrid w:val="0"/>
              <w:spacing w:line="480" w:lineRule="auto"/>
              <w:ind w:leftChars="74" w:left="163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 w:hint="eastAsia"/>
                <w:szCs w:val="24"/>
              </w:rPr>
              <w:t>≤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szCs w:val="24"/>
              </w:rPr>
              <w:t>23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szCs w:val="24"/>
              </w:rPr>
              <w:t>kg/m</w:t>
            </w:r>
            <w:r w:rsidRPr="008E039E">
              <w:rPr>
                <w:rFonts w:ascii="Times New Roman" w:eastAsia="PMingLiU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szCs w:val="24"/>
              </w:rPr>
              <w:t>and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szCs w:val="24"/>
              </w:rPr>
              <w:t>&lt;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szCs w:val="24"/>
              </w:rPr>
              <w:t>metabolic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szCs w:val="24"/>
              </w:rPr>
              <w:t>items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67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(93.1)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5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(6.9)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1.66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(0.56–4.04)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0.333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1.32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(0.45–3.84)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0.61</w:t>
            </w:r>
          </w:p>
        </w:tc>
      </w:tr>
      <w:tr w:rsidR="00762EE7" w:rsidRPr="00BE2737" w:rsidTr="00C03BA2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762EE7">
            <w:pPr>
              <w:snapToGrid w:val="0"/>
              <w:spacing w:line="480" w:lineRule="auto"/>
              <w:ind w:firstLineChars="80" w:firstLine="192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szCs w:val="24"/>
              </w:rPr>
              <w:t>&gt;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szCs w:val="24"/>
              </w:rPr>
              <w:t>23</w:t>
            </w:r>
            <w:r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szCs w:val="24"/>
              </w:rPr>
              <w:t>kg/m</w:t>
            </w:r>
            <w:r w:rsidRPr="008E039E">
              <w:rPr>
                <w:rFonts w:ascii="Times New Roman" w:eastAsia="PMingLiU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757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(95.7)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34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(4.3)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</w:p>
        </w:tc>
      </w:tr>
      <w:tr w:rsidR="00762EE7" w:rsidRPr="00BE2737" w:rsidTr="00C03BA2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T2DM,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154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(95.1)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8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(4.9)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0.98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(0.42–2.4)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0.957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0.99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(0.43–2.28)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0.98</w:t>
            </w:r>
          </w:p>
        </w:tc>
      </w:tr>
      <w:tr w:rsidR="00762EE7" w:rsidRPr="00BE2737" w:rsidTr="00C03BA2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697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(95.0)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37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(5.0)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</w:p>
        </w:tc>
      </w:tr>
      <w:tr w:rsidR="00762EE7" w:rsidRPr="00BE2737" w:rsidTr="00C03BA2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HBsAg+/anti-HCV+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10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(71.4)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4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(28.6)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18.06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(4.51–62.44)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0.0003*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17.70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(4.66–67.28)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&lt;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0.001*</w:t>
            </w:r>
          </w:p>
        </w:tc>
      </w:tr>
      <w:tr w:rsidR="00762EE7" w:rsidRPr="00BE2737" w:rsidTr="00C03BA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Anti-HCV+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81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(83.5)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16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(16.5)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8.92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(4.15–19.54)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&lt;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0.0001*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7.66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(3.46–17.00)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&lt;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0.001*</w:t>
            </w:r>
          </w:p>
        </w:tc>
      </w:tr>
      <w:tr w:rsidR="00762EE7" w:rsidRPr="00BE2737" w:rsidTr="00C03BA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lastRenderedPageBreak/>
              <w:t>HBsAg+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174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(93.6)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12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(6.4)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3.11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(1.38–6.99)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0.007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3.86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(1.67–8.90)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0.002*</w:t>
            </w:r>
          </w:p>
        </w:tc>
      </w:tr>
      <w:tr w:rsidR="00762EE7" w:rsidRPr="00BE2737" w:rsidTr="00C03BA2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HBsAg-/anti-HCV-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587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(97.8)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13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(2.2)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1"/>
        <w:tblW w:w="14142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1701"/>
        <w:gridCol w:w="1701"/>
        <w:gridCol w:w="1843"/>
        <w:gridCol w:w="1417"/>
        <w:gridCol w:w="2127"/>
        <w:gridCol w:w="1134"/>
      </w:tblGrid>
      <w:tr w:rsidR="00762EE7" w:rsidRPr="00BE2737" w:rsidTr="00C03BA2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2015–2020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</w:t>
            </w:r>
            <w:r w:rsidRPr="008E039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E273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E039E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1,051)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 w:hint="eastAsia"/>
                <w:b/>
                <w:bCs/>
              </w:rPr>
              <w:t>≤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3.25,</w:t>
            </w:r>
            <w:r>
              <w:rPr>
                <w:rFonts w:ascii="Times New Roman" w:eastAsia="PMingLiU" w:hAnsi="Times New Roman" w:cs="Times New Roman"/>
                <w:b/>
                <w:bCs/>
                <w:i/>
                <w:i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</w:rPr>
              <w:t>n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BE2737">
              <w:rPr>
                <w:rFonts w:ascii="Times New Roman" w:eastAsia="PMingLiU" w:hAnsi="Times New Roman" w:cs="Times New Roman"/>
                <w:b/>
                <w:bCs/>
              </w:rPr>
              <w:t>=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1017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</w:rPr>
              <w:t>&gt;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3.25,</w:t>
            </w:r>
            <w:r>
              <w:rPr>
                <w:rFonts w:ascii="Times New Roman" w:eastAsia="PMingLiU" w:hAnsi="Times New Roman" w:cs="Times New Roman"/>
                <w:b/>
                <w:bCs/>
                <w:i/>
                <w:i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</w:rPr>
              <w:t>n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BE2737">
              <w:rPr>
                <w:rFonts w:ascii="Times New Roman" w:eastAsia="PMingLiU" w:hAnsi="Times New Roman" w:cs="Times New Roman"/>
                <w:b/>
                <w:bCs/>
              </w:rPr>
              <w:t>=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</w:rPr>
              <w:t>OR</w:t>
            </w:r>
          </w:p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</w:rPr>
              <w:t>(95%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CI)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p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-value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</w:rPr>
              <w:t>OR</w:t>
            </w:r>
          </w:p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</w:rPr>
              <w:t>(95%</w:t>
            </w:r>
            <w:r>
              <w:rPr>
                <w:rFonts w:ascii="Times New Roman" w:eastAsia="PMingLiU" w:hAnsi="Times New Roman" w:cs="Times New Roman"/>
                <w:b/>
                <w:bCs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</w:rPr>
              <w:t>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p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-value</w:t>
            </w:r>
          </w:p>
        </w:tc>
      </w:tr>
      <w:tr w:rsidR="00762EE7" w:rsidRPr="00BE2737" w:rsidTr="00C03BA2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adjustRightInd w:val="0"/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Age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(years)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50.8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±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13.5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64.8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±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9.8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1.09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(1.06–1.13)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&lt;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0.001*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1.08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(1.05–1.12)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&lt;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0.001*</w:t>
            </w:r>
          </w:p>
        </w:tc>
      </w:tr>
      <w:tr w:rsidR="00762EE7" w:rsidRPr="00BE2737" w:rsidTr="00C03BA2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adjustRightInd w:val="0"/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Female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452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(96.0)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19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(4.0)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1.58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(0.80–3.15)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0.19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1.25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(0.59–2.63)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0.56</w:t>
            </w:r>
          </w:p>
        </w:tc>
      </w:tr>
      <w:tr w:rsidR="00762EE7" w:rsidRPr="00BE2737" w:rsidTr="00C03BA2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adjustRightInd w:val="0"/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Male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565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(97.4)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15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(2.6)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</w:p>
        </w:tc>
      </w:tr>
      <w:tr w:rsidR="00762EE7" w:rsidRPr="00BE2737" w:rsidTr="00C03BA2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adjustRightInd w:val="0"/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MAFLD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phenotype</w:t>
            </w:r>
            <w:r w:rsidRPr="008E039E">
              <w:rPr>
                <w:rFonts w:ascii="Times New Roman" w:eastAsia="PMingLiU" w:hAnsi="Times New Roman" w:cs="Times New Roman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</w:p>
        </w:tc>
      </w:tr>
      <w:tr w:rsidR="00762EE7" w:rsidRPr="00BE2737" w:rsidTr="00C03BA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adjustRightInd w:val="0"/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BMI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 w:hint="eastAsia"/>
              </w:rPr>
              <w:t>≤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23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kg/m</w:t>
            </w:r>
            <w:r w:rsidRPr="008E039E">
              <w:rPr>
                <w:rFonts w:ascii="Times New Roman" w:eastAsia="PMingLiU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21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(87.5)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3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(12.5)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4.59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(1.30–16.20)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0.02*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4.37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(1.05–18.17)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0.04*</w:t>
            </w:r>
          </w:p>
        </w:tc>
      </w:tr>
      <w:tr w:rsidR="00762EE7" w:rsidRPr="00BE2737" w:rsidTr="00C03BA2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&gt;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23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kg/m</w:t>
            </w:r>
            <w:r w:rsidRPr="008E039E">
              <w:rPr>
                <w:rFonts w:ascii="Times New Roman" w:eastAsia="PMingLiU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996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(97.0)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31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(3.0)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</w:p>
        </w:tc>
      </w:tr>
      <w:tr w:rsidR="00762EE7" w:rsidRPr="00BE2737" w:rsidTr="00C03BA2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adjustRightInd w:val="0"/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T2DM,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225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(96.6)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8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(3.4)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1.08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(0.48–2.43)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0.85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0.62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(0.26–1.48)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0.28</w:t>
            </w:r>
          </w:p>
        </w:tc>
      </w:tr>
      <w:tr w:rsidR="00762EE7" w:rsidRPr="00BE2737" w:rsidTr="00C03BA2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adjustRightInd w:val="0"/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792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(96.8)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26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(3.2)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</w:p>
        </w:tc>
      </w:tr>
      <w:tr w:rsidR="00762EE7" w:rsidRPr="00BE2737" w:rsidTr="00C03BA2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adjustRightInd w:val="0"/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Anti-HCV+</w:t>
            </w:r>
            <w:r w:rsidRPr="008E039E">
              <w:rPr>
                <w:rFonts w:ascii="Times New Roman" w:eastAsia="PMingLiU" w:hAnsi="Times New Roman" w:cs="Times New Roman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74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(80.4)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18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(19.6)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14.87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(7.11–31.10)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&lt;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0.001*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9.91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(4.58–21.42)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&lt;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0.001*</w:t>
            </w:r>
          </w:p>
        </w:tc>
      </w:tr>
      <w:tr w:rsidR="00762EE7" w:rsidRPr="00BE2737" w:rsidTr="00C03BA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adjustRightInd w:val="0"/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HBsAg+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87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(97.8)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2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(2.2)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1.41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(0.31–6.29)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0.66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2.01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(0.44–9.33)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0.37</w:t>
            </w:r>
          </w:p>
        </w:tc>
      </w:tr>
      <w:tr w:rsidR="00762EE7" w:rsidRPr="00BE2737" w:rsidTr="00C03BA2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adjustRightInd w:val="0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HBsAg-/anti-HCV-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856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(98.4)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14</w:t>
            </w: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</w:rPr>
              <w:t>(1.6)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E7" w:rsidRPr="008E039E" w:rsidRDefault="00762EE7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</w:p>
        </w:tc>
      </w:tr>
    </w:tbl>
    <w:p w:rsidR="00762EE7" w:rsidRPr="00BE2737" w:rsidRDefault="00762EE7" w:rsidP="00762EE7">
      <w:pPr>
        <w:snapToGrid w:val="0"/>
        <w:spacing w:line="480" w:lineRule="auto"/>
        <w:jc w:val="both"/>
        <w:rPr>
          <w:rFonts w:ascii="Times New Roman" w:hAnsi="Times New Roman" w:cs="Times New Roman"/>
        </w:rPr>
      </w:pPr>
    </w:p>
    <w:p w:rsidR="00762EE7" w:rsidRPr="00BE2737" w:rsidRDefault="00762EE7" w:rsidP="00762EE7">
      <w:pPr>
        <w:snapToGrid w:val="0"/>
        <w:spacing w:line="480" w:lineRule="auto"/>
        <w:jc w:val="both"/>
        <w:rPr>
          <w:rFonts w:ascii="Times New Roman" w:hAnsi="Times New Roman" w:cs="Times New Roman"/>
        </w:rPr>
      </w:pPr>
    </w:p>
    <w:p w:rsidR="00762EE7" w:rsidRPr="00BE2737" w:rsidRDefault="00762EE7" w:rsidP="00762EE7">
      <w:pPr>
        <w:snapToGrid w:val="0"/>
        <w:spacing w:line="480" w:lineRule="auto"/>
        <w:jc w:val="both"/>
        <w:rPr>
          <w:rFonts w:ascii="Times New Roman" w:hAnsi="Times New Roman" w:cs="Times New Roman"/>
        </w:rPr>
      </w:pPr>
      <w:r w:rsidRPr="00BE2737">
        <w:rPr>
          <w:rFonts w:ascii="Times New Roman" w:hAnsi="Times New Roman" w:cs="Times New Roman"/>
        </w:rPr>
        <w:t>There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subjects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HBV/HCV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coinfection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BMI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≤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kg/m</w:t>
      </w:r>
      <w:r w:rsidRPr="008E039E">
        <w:rPr>
          <w:rFonts w:ascii="Times New Roman" w:eastAsia="PMingLiU" w:hAnsi="Times New Roman" w:cs="Times New Roman"/>
          <w:vertAlign w:val="superscript"/>
        </w:rPr>
        <w:t>2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metabolic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items.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means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standard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deviation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8E039E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(%).</w:t>
      </w:r>
    </w:p>
    <w:p w:rsidR="00762EE7" w:rsidRPr="00BE2737" w:rsidRDefault="00762EE7" w:rsidP="00762EE7">
      <w:pPr>
        <w:snapToGrid w:val="0"/>
        <w:spacing w:line="480" w:lineRule="auto"/>
        <w:jc w:val="both"/>
        <w:rPr>
          <w:rFonts w:ascii="Times New Roman" w:hAnsi="Times New Roman" w:cs="Times New Roman"/>
        </w:rPr>
      </w:pPr>
      <w:r w:rsidRPr="00BE2737">
        <w:rPr>
          <w:rFonts w:ascii="Times New Roman" w:eastAsia="PMingLiU" w:hAnsi="Times New Roman" w:cs="Times New Roman"/>
        </w:rPr>
        <w:t>BMI,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body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mass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index;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CI,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confidence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interval;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FIB-4,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fibrosis-4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index;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MAFLD</w:t>
      </w:r>
      <w:r w:rsidRPr="00BE27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metabolic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dysfunction-associated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fatty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liver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disease;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OR,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odds</w:t>
      </w:r>
      <w:r>
        <w:rPr>
          <w:rFonts w:ascii="Times New Roman" w:hAnsi="Times New Roman" w:cs="Times New Roman"/>
        </w:rPr>
        <w:t xml:space="preserve"> </w:t>
      </w:r>
      <w:r w:rsidRPr="00BE2737">
        <w:rPr>
          <w:rFonts w:ascii="Times New Roman" w:hAnsi="Times New Roman" w:cs="Times New Roman"/>
        </w:rPr>
        <w:t>ratio;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T2DM,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type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2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diabetes.</w:t>
      </w:r>
    </w:p>
    <w:p w:rsidR="00764FEB" w:rsidRDefault="00764FEB"/>
    <w:sectPr w:rsidR="00764F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defaultTabStop w:val="720"/>
  <w:characterSpacingControl w:val="doNotCompress"/>
  <w:compat>
    <w:useFELayout/>
  </w:compat>
  <w:rsids>
    <w:rsidRoot w:val="00762EE7"/>
    <w:rsid w:val="00762EE7"/>
    <w:rsid w:val="0076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EE7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2023-05-21T03:02:00Z</dcterms:created>
  <dcterms:modified xsi:type="dcterms:W3CDTF">2023-05-21T03:02:00Z</dcterms:modified>
</cp:coreProperties>
</file>