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AC" w:rsidRPr="00AF5902" w:rsidRDefault="000D34AC" w:rsidP="000D34AC">
      <w:pPr>
        <w:snapToGrid w:val="0"/>
        <w:spacing w:line="480" w:lineRule="auto"/>
        <w:jc w:val="both"/>
        <w:rPr>
          <w:color w:val="000000"/>
          <w:kern w:val="2"/>
        </w:rPr>
      </w:pPr>
      <w:r w:rsidRPr="00613A02">
        <w:rPr>
          <w:b/>
        </w:rPr>
        <w:t xml:space="preserve">Supplementary </w:t>
      </w:r>
      <w:r w:rsidRPr="00AF5902">
        <w:rPr>
          <w:b/>
        </w:rPr>
        <w:t>Table 4. Network meta-analysis results for primary and secondary prophylaxis of variceal bleeding and all-cause mortality according to geographical region</w:t>
      </w:r>
    </w:p>
    <w:tbl>
      <w:tblPr>
        <w:tblStyle w:val="TableGrid"/>
        <w:tblW w:w="9029" w:type="dxa"/>
        <w:tblInd w:w="-15" w:type="dxa"/>
        <w:tblCellMar>
          <w:top w:w="5" w:type="dxa"/>
          <w:right w:w="115" w:type="dxa"/>
        </w:tblCellMar>
        <w:tblLook w:val="04A0"/>
      </w:tblPr>
      <w:tblGrid>
        <w:gridCol w:w="2591"/>
        <w:gridCol w:w="2251"/>
        <w:gridCol w:w="2676"/>
        <w:gridCol w:w="1511"/>
      </w:tblGrid>
      <w:tr w:rsidR="000D34AC" w:rsidRPr="00AF5902" w:rsidTr="0041303B">
        <w:trPr>
          <w:trHeight w:val="285"/>
        </w:trPr>
        <w:tc>
          <w:tcPr>
            <w:tcW w:w="4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>Bleeding (primary + secondary prophylaxis)</w:t>
            </w:r>
            <w:r w:rsidRPr="00AF5902"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AC" w:rsidRPr="00AF5902" w:rsidTr="0041303B">
        <w:trPr>
          <w:trHeight w:val="285"/>
        </w:trPr>
        <w:tc>
          <w:tcPr>
            <w:tcW w:w="48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i/>
                <w:u w:color="000000"/>
              </w:rPr>
              <w:t xml:space="preserve">Asia </w:t>
            </w:r>
            <w:r w:rsidRPr="00AF5902">
              <w:rPr>
                <w:u w:color="000000"/>
              </w:rPr>
              <w:t>(10 studies</w:t>
            </w:r>
            <w:r w:rsidRPr="00AF5902">
              <w:t>)</w:t>
            </w:r>
            <w:r w:rsidRPr="00AF5902">
              <w:rPr>
                <w:i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AC" w:rsidRPr="00AF5902" w:rsidTr="0041303B">
        <w:trPr>
          <w:trHeight w:val="839"/>
        </w:trPr>
        <w:tc>
          <w:tcPr>
            <w:tcW w:w="4842" w:type="dxa"/>
            <w:gridSpan w:val="2"/>
            <w:hideMark/>
          </w:tcPr>
          <w:p w:rsidR="000D34AC" w:rsidRPr="00AF5902" w:rsidRDefault="000D34AC" w:rsidP="0041303B">
            <w:pPr>
              <w:tabs>
                <w:tab w:val="center" w:pos="1141"/>
                <w:tab w:val="center" w:pos="3392"/>
              </w:tabs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rFonts w:eastAsia="Times New Roman"/>
              </w:rPr>
              <w:tab/>
            </w:r>
            <w:r w:rsidRPr="00AF5902">
              <w:t xml:space="preserve">Carvedilol </w:t>
            </w:r>
            <w:r w:rsidRPr="00AF5902">
              <w:tab/>
            </w:r>
          </w:p>
          <w:p w:rsidR="000D34AC" w:rsidRPr="00AF5902" w:rsidRDefault="000D34AC" w:rsidP="0041303B">
            <w:pPr>
              <w:tabs>
                <w:tab w:val="center" w:pos="1140"/>
                <w:tab w:val="center" w:pos="3392"/>
              </w:tabs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rFonts w:eastAsia="Times New Roman"/>
              </w:rPr>
              <w:tab/>
            </w:r>
            <w:r w:rsidRPr="00AF5902">
              <w:t xml:space="preserve">1.49 (0.45, 4.99) </w:t>
            </w:r>
            <w:r w:rsidRPr="00AF5902">
              <w:tab/>
              <w:t>Nadolol</w:t>
            </w:r>
          </w:p>
          <w:p w:rsidR="000D34AC" w:rsidRPr="00AF5902" w:rsidRDefault="000D34AC" w:rsidP="0041303B">
            <w:pPr>
              <w:tabs>
                <w:tab w:val="center" w:pos="1140"/>
                <w:tab w:val="center" w:pos="3391"/>
              </w:tabs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rFonts w:eastAsia="Times New Roman"/>
              </w:rPr>
              <w:tab/>
            </w:r>
            <w:r w:rsidRPr="00AF5902">
              <w:t xml:space="preserve">0.49 (0.11, 1.68) </w:t>
            </w:r>
            <w:r w:rsidRPr="00AF5902">
              <w:tab/>
              <w:t xml:space="preserve">0.33 (0.07, 1.14) 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Propranolol 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</w:tr>
      <w:tr w:rsidR="000D34AC" w:rsidRPr="00AF5902" w:rsidTr="0041303B">
        <w:trPr>
          <w:trHeight w:val="276"/>
        </w:trPr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tabs>
                <w:tab w:val="center" w:pos="1140"/>
                <w:tab w:val="center" w:pos="3391"/>
              </w:tabs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rFonts w:eastAsia="Times New Roman"/>
              </w:rPr>
              <w:tab/>
            </w:r>
            <w:r w:rsidRPr="00AF5902">
              <w:t xml:space="preserve">0.56 (0.16, 1.92) </w:t>
            </w:r>
            <w:r w:rsidRPr="00AF5902">
              <w:tab/>
              <w:t xml:space="preserve">0.38 (0.11, 1.23)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1.16 (0.57, 2.96)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Placebo </w:t>
            </w:r>
          </w:p>
        </w:tc>
      </w:tr>
      <w:tr w:rsidR="000D34AC" w:rsidRPr="00AF5902" w:rsidTr="0041303B">
        <w:trPr>
          <w:trHeight w:val="286"/>
        </w:trPr>
        <w:tc>
          <w:tcPr>
            <w:tcW w:w="48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i/>
                <w:u w:color="000000"/>
              </w:rPr>
              <w:t xml:space="preserve">Non-Asia </w:t>
            </w:r>
            <w:r w:rsidRPr="00AF5902">
              <w:rPr>
                <w:u w:color="000000"/>
              </w:rPr>
              <w:t>(</w:t>
            </w:r>
            <w:r w:rsidRPr="00AF590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19 </w:t>
            </w:r>
            <w:r w:rsidRPr="00AF5902">
              <w:rPr>
                <w:u w:color="000000"/>
              </w:rPr>
              <w:t>studi</w:t>
            </w:r>
            <w:r w:rsidRPr="00AF5902">
              <w:t>es)</w:t>
            </w:r>
            <w:r w:rsidRPr="00AF5902">
              <w:rPr>
                <w:i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AC" w:rsidRPr="00AF5902" w:rsidTr="0041303B">
        <w:trPr>
          <w:trHeight w:val="561"/>
        </w:trPr>
        <w:tc>
          <w:tcPr>
            <w:tcW w:w="259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41" w:right="345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Carvedilol 0.00 (0.00, 0.74) 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Nadolol 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</w:tr>
      <w:tr w:rsidR="000D34AC" w:rsidRPr="00AF5902" w:rsidTr="0041303B">
        <w:trPr>
          <w:trHeight w:val="278"/>
        </w:trPr>
        <w:tc>
          <w:tcPr>
            <w:tcW w:w="259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0.00 (0.00, 0.34) </w:t>
            </w:r>
          </w:p>
        </w:tc>
        <w:tc>
          <w:tcPr>
            <w:tcW w:w="225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0.46 (0.13, 1.45) </w:t>
            </w:r>
          </w:p>
        </w:tc>
        <w:tc>
          <w:tcPr>
            <w:tcW w:w="2676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Propranolol </w:t>
            </w:r>
          </w:p>
        </w:tc>
        <w:tc>
          <w:tcPr>
            <w:tcW w:w="151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</w:tr>
      <w:tr w:rsidR="000D34AC" w:rsidRPr="00AF5902" w:rsidTr="0041303B">
        <w:trPr>
          <w:trHeight w:val="276"/>
        </w:trPr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0.00 (0.00, 0.15)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0.20 (0.06, 0.57)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0.42 (0.27, 0.64)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Placebo </w:t>
            </w:r>
          </w:p>
        </w:tc>
      </w:tr>
      <w:tr w:rsidR="000D34AC" w:rsidRPr="00AF5902" w:rsidTr="0041303B">
        <w:trPr>
          <w:trHeight w:val="285"/>
        </w:trPr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>All-cause mortality</w:t>
            </w:r>
            <w:r w:rsidRPr="00AF5902"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AC" w:rsidRPr="00AF5902" w:rsidTr="0041303B">
        <w:trPr>
          <w:trHeight w:val="285"/>
        </w:trPr>
        <w:tc>
          <w:tcPr>
            <w:tcW w:w="259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i/>
                <w:u w:color="000000"/>
              </w:rPr>
              <w:t xml:space="preserve">Asia </w:t>
            </w:r>
            <w:r w:rsidRPr="00AF5902">
              <w:rPr>
                <w:u w:color="000000"/>
              </w:rPr>
              <w:t>(9 studies)</w:t>
            </w:r>
          </w:p>
          <w:p w:rsidR="000D34AC" w:rsidRPr="00AF5902" w:rsidRDefault="000D34AC" w:rsidP="0041303B">
            <w:pPr>
              <w:snapToGrid w:val="0"/>
              <w:spacing w:line="480" w:lineRule="auto"/>
              <w:ind w:left="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>Carvedilol</w:t>
            </w:r>
          </w:p>
          <w:p w:rsidR="000D34AC" w:rsidRPr="00AF5902" w:rsidRDefault="000D34AC" w:rsidP="0041303B">
            <w:pPr>
              <w:snapToGrid w:val="0"/>
              <w:spacing w:line="48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0.76 (0.27, 1.93) 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AC" w:rsidRPr="00AF5902" w:rsidTr="0041303B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Nadolol 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</w:tr>
      <w:tr w:rsidR="000D34AC" w:rsidRPr="00AF5902" w:rsidTr="0041303B">
        <w:trPr>
          <w:trHeight w:val="278"/>
        </w:trPr>
        <w:tc>
          <w:tcPr>
            <w:tcW w:w="259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0.32 (0.09, 0.94) </w:t>
            </w:r>
          </w:p>
        </w:tc>
        <w:tc>
          <w:tcPr>
            <w:tcW w:w="225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0.42 (0.11, 1.41) </w:t>
            </w:r>
          </w:p>
        </w:tc>
        <w:tc>
          <w:tcPr>
            <w:tcW w:w="2676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Propranolol </w:t>
            </w:r>
          </w:p>
        </w:tc>
        <w:tc>
          <w:tcPr>
            <w:tcW w:w="151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</w:tr>
      <w:tr w:rsidR="000D34AC" w:rsidRPr="00AF5902" w:rsidTr="0041303B">
        <w:trPr>
          <w:trHeight w:val="273"/>
        </w:trPr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0.28 (0.11, 0.65)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0.38 (0.13, 0.98)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0.90 (0.40, 2.14)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Placebo </w:t>
            </w:r>
          </w:p>
        </w:tc>
      </w:tr>
      <w:tr w:rsidR="000D34AC" w:rsidRPr="00AF5902" w:rsidTr="0041303B">
        <w:trPr>
          <w:trHeight w:val="285"/>
        </w:trPr>
        <w:tc>
          <w:tcPr>
            <w:tcW w:w="48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i/>
                <w:u w:color="000000"/>
              </w:rPr>
              <w:t xml:space="preserve">Non-Asia </w:t>
            </w:r>
            <w:r w:rsidRPr="00AF5902">
              <w:rPr>
                <w:u w:color="000000"/>
              </w:rPr>
              <w:t>(16 studi</w:t>
            </w:r>
            <w:r w:rsidRPr="00AF5902">
              <w:t>es)</w:t>
            </w:r>
            <w:r w:rsidRPr="00AF5902">
              <w:rPr>
                <w:i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AC" w:rsidRPr="00AF5902" w:rsidTr="0041303B">
        <w:trPr>
          <w:trHeight w:val="562"/>
        </w:trPr>
        <w:tc>
          <w:tcPr>
            <w:tcW w:w="259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41" w:right="345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Carvedilol 0.52 (0.12, 2.13) 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Nadolol 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</w:tr>
      <w:tr w:rsidR="000D34AC" w:rsidRPr="00AF5902" w:rsidTr="0041303B">
        <w:trPr>
          <w:trHeight w:val="278"/>
        </w:trPr>
        <w:tc>
          <w:tcPr>
            <w:tcW w:w="259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0.39 (0.10, 1.27) </w:t>
            </w:r>
          </w:p>
        </w:tc>
        <w:tc>
          <w:tcPr>
            <w:tcW w:w="225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0.74 (0.33, 1.64) </w:t>
            </w:r>
          </w:p>
        </w:tc>
        <w:tc>
          <w:tcPr>
            <w:tcW w:w="2676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Propranolol </w:t>
            </w:r>
          </w:p>
        </w:tc>
        <w:tc>
          <w:tcPr>
            <w:tcW w:w="1511" w:type="dxa"/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</w:tr>
      <w:tr w:rsidR="000D34AC" w:rsidRPr="00AF5902" w:rsidTr="0041303B">
        <w:trPr>
          <w:trHeight w:val="276"/>
        </w:trPr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lastRenderedPageBreak/>
              <w:t xml:space="preserve">0.29 (0.08, 0.94)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0.56 (0.26, 1.14)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0.75 (0.53, 1.05)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34AC" w:rsidRPr="00AF5902" w:rsidRDefault="000D34AC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Placebo </w:t>
            </w:r>
          </w:p>
        </w:tc>
      </w:tr>
    </w:tbl>
    <w:p w:rsidR="000D34AC" w:rsidRPr="00AF5902" w:rsidRDefault="000D34AC" w:rsidP="000D34AC">
      <w:pPr>
        <w:snapToGrid w:val="0"/>
        <w:spacing w:line="480" w:lineRule="auto"/>
        <w:jc w:val="both"/>
      </w:pPr>
      <w:r w:rsidRPr="00AF5902">
        <w:rPr>
          <w:color w:val="000000"/>
          <w:kern w:val="2"/>
        </w:rPr>
        <w:t xml:space="preserve">Data are presented as </w:t>
      </w:r>
      <w:r w:rsidRPr="00AF5902">
        <w:rPr>
          <w:bCs/>
        </w:rPr>
        <w:t xml:space="preserve">pooled relative risk (95% credible interval). </w:t>
      </w:r>
      <w:r w:rsidRPr="00AF5902">
        <w:t>Bold text indicates statistically significant value.</w:t>
      </w:r>
    </w:p>
    <w:p w:rsidR="000D34AC" w:rsidRPr="00AF5902" w:rsidRDefault="000D34AC" w:rsidP="000D34AC">
      <w:pPr>
        <w:snapToGrid w:val="0"/>
        <w:spacing w:line="480" w:lineRule="auto"/>
        <w:jc w:val="both"/>
        <w:rPr>
          <w:bCs/>
          <w:color w:val="000000"/>
          <w:kern w:val="2"/>
        </w:rPr>
      </w:pPr>
    </w:p>
    <w:p w:rsidR="000D34AC" w:rsidRPr="004346BE" w:rsidRDefault="000D34AC" w:rsidP="000D34AC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</w:p>
    <w:p w:rsidR="00396C82" w:rsidRDefault="00396C82"/>
    <w:sectPr w:rsidR="00396C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D34AC"/>
    <w:rsid w:val="000D34AC"/>
    <w:rsid w:val="0039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D34A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D34AC"/>
    <w:rPr>
      <w:rFonts w:ascii="Times New Roman" w:hAnsi="Times New Roman" w:cs="Times New Roman"/>
      <w:sz w:val="24"/>
      <w:szCs w:val="24"/>
      <w:lang w:val="en-GB" w:eastAsia="zh-TW"/>
    </w:rPr>
  </w:style>
  <w:style w:type="table" w:customStyle="1" w:styleId="TableGrid">
    <w:name w:val="TableGrid"/>
    <w:rsid w:val="000D34AC"/>
    <w:pPr>
      <w:spacing w:after="0" w:line="240" w:lineRule="auto"/>
    </w:pPr>
    <w:rPr>
      <w:kern w:val="2"/>
      <w:sz w:val="2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2023-05-25T23:08:00Z</dcterms:created>
  <dcterms:modified xsi:type="dcterms:W3CDTF">2023-05-25T23:08:00Z</dcterms:modified>
</cp:coreProperties>
</file>