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85" w:rsidRDefault="00282685" w:rsidP="00282685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82685" w:rsidRDefault="00282685" w:rsidP="00282685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Table 5. </w:t>
      </w:r>
      <w:r w:rsidRPr="000C200E">
        <w:rPr>
          <w:rFonts w:ascii="Times New Roman" w:hAnsi="Times New Roman" w:cs="Times New Roman"/>
          <w:b/>
          <w:bCs/>
        </w:rPr>
        <w:t>Laboratory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indexes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of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patients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in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Changgung</w:t>
      </w:r>
      <w:r>
        <w:rPr>
          <w:rFonts w:ascii="Times New Roman" w:hAnsi="Times New Roman" w:cs="Times New Roman"/>
          <w:b/>
          <w:bCs/>
        </w:rPr>
        <w:t xml:space="preserve"> </w:t>
      </w:r>
      <w:r w:rsidRPr="000C200E">
        <w:rPr>
          <w:rFonts w:ascii="Times New Roman" w:hAnsi="Times New Roman" w:cs="Times New Roman"/>
          <w:b/>
          <w:bCs/>
        </w:rPr>
        <w:t>study</w:t>
      </w:r>
    </w:p>
    <w:tbl>
      <w:tblPr>
        <w:tblStyle w:val="TableNormal1"/>
        <w:tblW w:w="8084" w:type="dxa"/>
        <w:jc w:val="center"/>
        <w:tblInd w:w="0" w:type="dxa"/>
        <w:tblBorders>
          <w:top w:val="single" w:sz="12" w:space="0" w:color="4F81BD" w:themeColor="accent1"/>
          <w:bottom w:val="single" w:sz="12" w:space="0" w:color="4F81BD" w:themeColor="accent1"/>
        </w:tblBorders>
        <w:tblLayout w:type="fixed"/>
        <w:tblLook w:val="04A0"/>
      </w:tblPr>
      <w:tblGrid>
        <w:gridCol w:w="1991"/>
        <w:gridCol w:w="2418"/>
        <w:gridCol w:w="2191"/>
        <w:gridCol w:w="1484"/>
      </w:tblGrid>
      <w:tr w:rsidR="00282685" w:rsidTr="008A5C39">
        <w:trPr>
          <w:trHeight w:val="658"/>
          <w:jc w:val="center"/>
        </w:trPr>
        <w:tc>
          <w:tcPr>
            <w:tcW w:w="19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Variables</w:t>
            </w:r>
          </w:p>
        </w:tc>
        <w:tc>
          <w:tcPr>
            <w:tcW w:w="24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>non-PVT</w:t>
            </w:r>
          </w:p>
          <w:p w:rsidR="00282685" w:rsidRDefault="00282685" w:rsidP="0028268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22)</w:t>
            </w:r>
          </w:p>
        </w:tc>
        <w:tc>
          <w:tcPr>
            <w:tcW w:w="21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PVT</w:t>
            </w:r>
          </w:p>
          <w:p w:rsidR="00282685" w:rsidRDefault="00282685" w:rsidP="0028268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2"/>
                <w:position w:val="2"/>
              </w:rPr>
              <w:t>(n = 11)</w:t>
            </w:r>
          </w:p>
        </w:tc>
        <w:tc>
          <w:tcPr>
            <w:tcW w:w="14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ind w:leftChars="30" w:left="66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3766F">
              <w:rPr>
                <w:rFonts w:ascii="Times New Roman" w:hAnsi="Times New Roman" w:cs="Times New Roman"/>
                <w:b/>
                <w:i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spacing w:val="-1"/>
              </w:rPr>
              <w:t>-value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282685" w:rsidRDefault="00282685" w:rsidP="008A5C39">
            <w:r>
              <w:rPr>
                <w:rFonts w:ascii="Times New Roman" w:hAnsi="Times New Roman" w:cs="Times New Roman"/>
                <w:b/>
                <w:spacing w:val="-1"/>
              </w:rPr>
              <w:t>Routine blood test</w:t>
            </w:r>
          </w:p>
        </w:tc>
        <w:tc>
          <w:tcPr>
            <w:tcW w:w="2418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282685" w:rsidRDefault="0028268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91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282685" w:rsidRDefault="0028268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84" w:type="dxa"/>
            <w:tcBorders>
              <w:top w:val="single" w:sz="12" w:space="0" w:color="000000" w:themeColor="text1"/>
              <w:bottom w:val="nil"/>
            </w:tcBorders>
            <w:shd w:val="clear" w:color="auto" w:fill="FFFFFF"/>
            <w:vAlign w:val="center"/>
          </w:tcPr>
          <w:p w:rsidR="00282685" w:rsidRDefault="00282685" w:rsidP="008A5C3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WBC (10^9/L)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3.0 [2.6-4.9]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4.4 [2.3-4.7]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0.849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RBC (10^12/L)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3.3 [2.8-3.5]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3.2 [2.8-3.9]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0.849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HGB (g/L)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97.0 [86.3-106.5]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96.0 [87.0-127.0]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0.660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PLT (10^9/L)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88.5 [58.3-107.3]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56.0 [32.0-86.0]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0.152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Liver function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ALT (U/L)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24.1 [13.1-38.5]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20.7 [12.7-28.0]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0.554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AST (U/L)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40.6 [27.0-54.2]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43.4 [32.6-55.3]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0.423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ALP (U/L)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108.5 [79.5-133.0]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115.0 [96.0-201.0]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0.236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ALB (g/L)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30.7 [29.1-34.5]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32.0 [28.7-34.1]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0.717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TBil (μmol/L)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24.7 [14.9-42.8]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48.5 [22.4-69.0]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0.101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γ-GT (U/L)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56.5 [28.5-129.8]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67.0 [32.0-132.0]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0.647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CHE (U/L)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3094 [2103-4722]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2293 [1889-2768]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0.043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GLU (mmol/L)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5.7 [5.2-6.8]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6.1 [5.3-9.6]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0.620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Coagulation 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PT (s)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14.9 [12.7-15.8]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14.9 [13.3-17.7]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0.567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PTA (%)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64 ± 16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62 ± 10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0.622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INR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1.3 [1.1-1.4]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1.3 [1.2-1.5]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0.646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APTT (s)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29.9 [27.5-32.9]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29.9 [28.7-32.9]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0.848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TT (s)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19.0 [17.9-19.9]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18.7 [17.7-18.9]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0.320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FIB (mg/dL)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206 ± 91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227 ± 80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0.519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Renal function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UREA (mmol/L)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4.6 [3.2-6.5]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6.1 [4.1-10.1]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0.100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CREA (μmol/L)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70.0 [52.5-83.0]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70.0 [50.0-89.0]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0.924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URCA (mmol/L)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331 [277-430]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329 [284-593]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0.661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Electrolytes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K (mmol/L)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4.0 ± 0.6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3.8 ± 0.7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0.474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lastRenderedPageBreak/>
              <w:t>Na (mmol/L)</w:t>
            </w:r>
          </w:p>
        </w:tc>
        <w:tc>
          <w:tcPr>
            <w:tcW w:w="2418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137.3 ± 4.5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136.3 ± 6.6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DCE6F2" w:themeFill="accent1" w:themeFillTint="32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0.625</w:t>
            </w:r>
          </w:p>
        </w:tc>
      </w:tr>
      <w:tr w:rsidR="00282685" w:rsidTr="008A5C39">
        <w:trPr>
          <w:trHeight w:val="397"/>
          <w:jc w:val="center"/>
        </w:trPr>
        <w:tc>
          <w:tcPr>
            <w:tcW w:w="1991" w:type="dxa"/>
            <w:tcBorders>
              <w:top w:val="nil"/>
              <w:bottom w:val="single" w:sz="12" w:space="0" w:color="000000" w:themeColor="text1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0" w:line="198" w:lineRule="auto"/>
              <w:ind w:leftChars="30" w:left="66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Cl (mmol/L)</w:t>
            </w:r>
          </w:p>
        </w:tc>
        <w:tc>
          <w:tcPr>
            <w:tcW w:w="2418" w:type="dxa"/>
            <w:tcBorders>
              <w:top w:val="nil"/>
              <w:bottom w:val="single" w:sz="12" w:space="0" w:color="000000" w:themeColor="text1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105.6 [102.5-108.4]</w:t>
            </w:r>
          </w:p>
        </w:tc>
        <w:tc>
          <w:tcPr>
            <w:tcW w:w="2191" w:type="dxa"/>
            <w:tcBorders>
              <w:top w:val="nil"/>
              <w:bottom w:val="single" w:sz="12" w:space="0" w:color="000000" w:themeColor="text1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102.7 [93.7-108.1]</w:t>
            </w:r>
          </w:p>
        </w:tc>
        <w:tc>
          <w:tcPr>
            <w:tcW w:w="1484" w:type="dxa"/>
            <w:tcBorders>
              <w:top w:val="nil"/>
              <w:bottom w:val="single" w:sz="12" w:space="0" w:color="000000" w:themeColor="text1"/>
            </w:tcBorders>
            <w:shd w:val="clear" w:color="auto" w:fill="FFFFFF"/>
            <w:vAlign w:val="center"/>
          </w:tcPr>
          <w:p w:rsidR="00282685" w:rsidRDefault="00282685" w:rsidP="00282685">
            <w:pPr>
              <w:spacing w:before="57" w:line="166" w:lineRule="auto"/>
              <w:ind w:leftChars="30" w:left="66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0.122</w:t>
            </w:r>
          </w:p>
        </w:tc>
      </w:tr>
    </w:tbl>
    <w:p w:rsidR="00282685" w:rsidRDefault="00282685" w:rsidP="00282685">
      <w:pPr>
        <w:spacing w:line="360" w:lineRule="auto"/>
        <w:rPr>
          <w:rFonts w:ascii="Times New Roman" w:hAnsi="Times New Roman" w:cs="Times New Roman"/>
          <w:b/>
          <w:bCs/>
        </w:rPr>
      </w:pPr>
      <w:r w:rsidRPr="000C200E">
        <w:rPr>
          <w:rFonts w:ascii="Times New Roman" w:hAnsi="Times New Roman" w:cs="Times New Roman"/>
          <w:sz w:val="24"/>
        </w:rPr>
        <w:t>WBC,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white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blood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cell;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RBC,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blood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cell;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HGB,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hemoglobin;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PLT,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platelet;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alanine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aminotransferase;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aspartate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aminotransferase;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ALP,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alkaline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phosphatase;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ALB,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albumin;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TBil,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total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bilirubin;</w:t>
      </w:r>
      <w:r>
        <w:rPr>
          <w:rFonts w:ascii="Times New Roman" w:hAnsi="Times New Roman" w:cs="Times New Roman"/>
          <w:sz w:val="24"/>
        </w:rPr>
        <w:t xml:space="preserve"> </w:t>
      </w:r>
      <w:r w:rsidRPr="003F08D0">
        <w:rPr>
          <w:rFonts w:ascii="Times New Roman" w:hAnsi="Times New Roman"/>
          <w:spacing w:val="-1"/>
          <w:sz w:val="24"/>
        </w:rPr>
        <w:t>γ</w:t>
      </w:r>
      <w:r w:rsidRPr="000C200E">
        <w:rPr>
          <w:rFonts w:ascii="Times New Roman" w:hAnsi="Times New Roman" w:cs="Times New Roman"/>
          <w:sz w:val="24"/>
        </w:rPr>
        <w:t>-GT,</w:t>
      </w:r>
      <w:r>
        <w:rPr>
          <w:rFonts w:ascii="Times New Roman" w:hAnsi="Times New Roman" w:cs="Times New Roman"/>
          <w:sz w:val="24"/>
        </w:rPr>
        <w:t xml:space="preserve"> </w:t>
      </w:r>
      <w:r w:rsidRPr="003F08D0">
        <w:rPr>
          <w:rFonts w:ascii="Times New Roman" w:hAnsi="Times New Roman"/>
          <w:spacing w:val="-1"/>
          <w:sz w:val="24"/>
        </w:rPr>
        <w:t>γ</w:t>
      </w:r>
      <w:r w:rsidRPr="000C200E">
        <w:rPr>
          <w:rFonts w:ascii="Times New Roman" w:hAnsi="Times New Roman" w:cs="Times New Roman"/>
          <w:sz w:val="24"/>
        </w:rPr>
        <w:t>-glutamyl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transpeptidase;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CHE,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cholinesterase;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GLU,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glucose;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prothrombin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time;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PTA,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prothrombin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activity;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INR,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international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normalized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ratio;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APTT,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activated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partial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thromboplastin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time;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TT,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thrombin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time;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FIB,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fibrinogen;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UREA,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urea;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CREA,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creatinine;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URCA,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uric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acid;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K,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potassium;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Na,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sodium;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Cl,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chloride;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AFP,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alpha-fetoprotein;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HBV-DNA,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hepatitis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</w:t>
      </w:r>
      <w:r w:rsidRPr="000C200E">
        <w:rPr>
          <w:rFonts w:ascii="Times New Roman" w:hAnsi="Times New Roman" w:cs="Times New Roman"/>
          <w:sz w:val="24"/>
        </w:rPr>
        <w:t>virus-DNA</w:t>
      </w:r>
      <w:r w:rsidRPr="007F64B2">
        <w:rPr>
          <w:rFonts w:ascii="Times New Roman" w:hAnsi="Times New Roman" w:cs="Times New Roman"/>
          <w:sz w:val="24"/>
        </w:rPr>
        <w:t>.</w:t>
      </w:r>
    </w:p>
    <w:p w:rsidR="00282685" w:rsidRDefault="00282685" w:rsidP="00282685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14D6C" w:rsidRDefault="00714D6C"/>
    <w:sectPr w:rsidR="00714D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282685"/>
    <w:rsid w:val="00282685"/>
    <w:rsid w:val="0071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282685"/>
    <w:pPr>
      <w:spacing w:after="0" w:line="240" w:lineRule="auto"/>
    </w:pPr>
    <w:rPr>
      <w:rFonts w:ascii="Arial" w:eastAsia="宋体" w:hAnsi="Arial" w:cs="Arial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2024-10-29T00:09:00Z</dcterms:created>
  <dcterms:modified xsi:type="dcterms:W3CDTF">2024-10-29T00:09:00Z</dcterms:modified>
</cp:coreProperties>
</file>